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80EFF3" w14:textId="77777777" w:rsidR="00FF7087" w:rsidRPr="00B213D8" w:rsidRDefault="00FF7087" w:rsidP="00FF7087">
      <w:pPr>
        <w:pStyle w:val="Nagwek1"/>
        <w:spacing w:before="0" w:after="120" w:line="240" w:lineRule="auto"/>
        <w:jc w:val="center"/>
        <w:rPr>
          <w:rFonts w:ascii="Arial" w:hAnsi="Arial" w:cs="Arial"/>
          <w:b/>
          <w:i/>
          <w:iCs/>
          <w:color w:val="auto"/>
          <w:sz w:val="24"/>
          <w:szCs w:val="24"/>
        </w:rPr>
      </w:pPr>
      <w:r w:rsidRPr="00B213D8">
        <w:rPr>
          <w:rFonts w:ascii="Arial" w:hAnsi="Arial" w:cs="Arial"/>
          <w:b/>
          <w:i/>
          <w:iCs/>
          <w:color w:val="auto"/>
          <w:sz w:val="24"/>
          <w:szCs w:val="24"/>
        </w:rPr>
        <w:t>Digital Brain – cyfrowe zasoby Instytutu Psychiatrii i Neurologii w Warszawie”</w:t>
      </w:r>
    </w:p>
    <w:p w14:paraId="6A820103" w14:textId="77777777" w:rsidR="00FF7087" w:rsidRPr="00B213D8" w:rsidRDefault="00FF7087" w:rsidP="00FF7087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213D8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25E35259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F7087">
        <w:rPr>
          <w:rFonts w:ascii="Arial" w:hAnsi="Arial" w:cs="Arial"/>
          <w:b/>
          <w:color w:val="auto"/>
          <w:sz w:val="24"/>
          <w:szCs w:val="24"/>
        </w:rPr>
        <w:t>III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FF7087">
        <w:rPr>
          <w:rFonts w:ascii="Arial" w:hAnsi="Arial" w:cs="Arial"/>
          <w:b/>
          <w:color w:val="auto"/>
          <w:sz w:val="24"/>
          <w:szCs w:val="24"/>
        </w:rPr>
        <w:t>2019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5577C8EE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040E070" w:rsidR="00CA516B" w:rsidRPr="002B50C0" w:rsidRDefault="00FF7087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213D8">
              <w:rPr>
                <w:rFonts w:ascii="Arial" w:hAnsi="Arial" w:cs="Arial"/>
                <w:b/>
                <w:sz w:val="20"/>
              </w:rPr>
              <w:t>Digital Brain – cyfrowe zasoby Instytutu Psychiatrii i Neurologii w Warszawie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196B90F" w:rsidR="00CA516B" w:rsidRPr="00141A92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18"/>
              </w:rPr>
              <w:t>Instytut Psychiatrii i Neurologii w Warszawie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3F886C0" w:rsidR="00CA516B" w:rsidRPr="006822BC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18"/>
              </w:rPr>
              <w:t>Instytut Psychiatrii i Neurologii w Warszawie</w:t>
            </w:r>
            <w:r w:rsidRPr="006822BC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C0EAECA" w:rsidR="00CA516B" w:rsidRPr="00141A92" w:rsidRDefault="00FF708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18"/>
              </w:rPr>
              <w:t>Projekt nie jest realizowany w Partnerstwie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0BEE51" w14:textId="77777777" w:rsidR="00FF7087" w:rsidRPr="00B213D8" w:rsidRDefault="00FF7087" w:rsidP="00FF70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Program Operacyjny Polska Cyfrowa na lata 202014-2020: Oś Priorytetowa nr 2 „E-administracja i otwarty rząd”, Działanie nr 2.3 „Cyfrowa dostępność i użyteczność informacji sektora publicznego”, Poddziałanie nr 2.3.1 „Cyfrowe udostępnienie informacji sektora publicznego ze źródeł administracyjnych i zasobów nauki (typ projektu: cyfrowe udostępnienie zasobów nauki)”</w:t>
            </w:r>
          </w:p>
          <w:p w14:paraId="55582688" w14:textId="4898408D" w:rsidR="00CA516B" w:rsidRPr="00141A92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Budżet Państwa (Ministerstwo Zdrowia, część 46)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7787CAF" w:rsidR="00CA516B" w:rsidRPr="00141A92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7 374 959,91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A220844" w:rsidR="005212C8" w:rsidRPr="00141A92" w:rsidRDefault="00FF7087" w:rsidP="00FF70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7 374 959,91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C635674" w:rsidR="00CA516B" w:rsidRPr="00141A92" w:rsidRDefault="00FF7087" w:rsidP="00FF708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01.08.2018 r. – 31.07.2021 r.</w:t>
            </w:r>
          </w:p>
        </w:tc>
      </w:tr>
    </w:tbl>
    <w:p w14:paraId="2F65CD47" w14:textId="77777777" w:rsidR="00FF7087" w:rsidRDefault="00FF7087" w:rsidP="00FF7087"/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EC13507" w:rsidR="004C1D48" w:rsidRPr="00B9766A" w:rsidRDefault="00FF7087" w:rsidP="00C04634">
      <w:pPr>
        <w:spacing w:before="120"/>
        <w:rPr>
          <w:rFonts w:ascii="Arial" w:hAnsi="Arial" w:cs="Arial"/>
          <w:color w:val="767171" w:themeColor="background2" w:themeShade="80"/>
        </w:rPr>
      </w:pPr>
      <w:r w:rsidRPr="00B9766A">
        <w:rPr>
          <w:rFonts w:ascii="Arial" w:hAnsi="Arial" w:cs="Arial"/>
        </w:rPr>
        <w:t>Nie dotyczy</w:t>
      </w:r>
      <w:bookmarkStart w:id="0" w:name="_GoBack"/>
      <w:bookmarkEnd w:id="0"/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F7087" w:rsidRPr="00FF7087" w14:paraId="4B170023" w14:textId="77777777" w:rsidTr="00795AFA">
        <w:tc>
          <w:tcPr>
            <w:tcW w:w="2972" w:type="dxa"/>
          </w:tcPr>
          <w:p w14:paraId="1520B683" w14:textId="2E13C2D8" w:rsidR="00FF7087" w:rsidRPr="00FF7087" w:rsidRDefault="00FF7087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39%</w:t>
            </w:r>
          </w:p>
        </w:tc>
        <w:tc>
          <w:tcPr>
            <w:tcW w:w="3260" w:type="dxa"/>
          </w:tcPr>
          <w:p w14:paraId="6C5EB51D" w14:textId="2EA0283F" w:rsidR="00BD5FEA" w:rsidRDefault="000D121E" w:rsidP="006948D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BD5FEA">
              <w:rPr>
                <w:rFonts w:ascii="Arial" w:hAnsi="Arial" w:cs="Arial"/>
                <w:sz w:val="18"/>
                <w:szCs w:val="20"/>
              </w:rPr>
              <w:t>43,9%</w:t>
            </w:r>
          </w:p>
          <w:p w14:paraId="23068234" w14:textId="6D38945A" w:rsidR="00FF7087" w:rsidRPr="00FF7087" w:rsidRDefault="00BD5FEA" w:rsidP="006948D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2. 41,3%</w:t>
            </w:r>
          </w:p>
        </w:tc>
        <w:tc>
          <w:tcPr>
            <w:tcW w:w="3402" w:type="dxa"/>
          </w:tcPr>
          <w:p w14:paraId="4BBDCAB9" w14:textId="68A2B5DB" w:rsidR="00FF7087" w:rsidRPr="00FF7087" w:rsidRDefault="00FF7087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92,1</w:t>
            </w:r>
            <w:r w:rsidR="000D121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5134D3ED" w:rsidR="002B50C0" w:rsidRDefault="002B50C0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2B2F92C" w14:textId="570DF12A" w:rsidR="00783279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4CE9AC8D" w14:textId="3B8D8453" w:rsidR="00783279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F1A3B98" w14:textId="6C6D0F15" w:rsidR="00783279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EE882CE" w14:textId="28EEDB26" w:rsidR="00783279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E5A1120" w14:textId="77777777" w:rsidR="00783279" w:rsidRPr="002B50C0" w:rsidRDefault="00783279" w:rsidP="00FF7087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5324" w:type="pct"/>
        <w:tblLook w:val="04A0" w:firstRow="1" w:lastRow="0" w:firstColumn="1" w:lastColumn="0" w:noHBand="0" w:noVBand="1"/>
        <w:tblCaption w:val="Kamienie milowe."/>
      </w:tblPr>
      <w:tblGrid>
        <w:gridCol w:w="2708"/>
        <w:gridCol w:w="1476"/>
        <w:gridCol w:w="1329"/>
        <w:gridCol w:w="1362"/>
        <w:gridCol w:w="2773"/>
      </w:tblGrid>
      <w:tr w:rsidR="00186468" w:rsidRPr="00B213D8" w14:paraId="1752EAF1" w14:textId="77777777" w:rsidTr="00D52330">
        <w:trPr>
          <w:tblHeader/>
        </w:trPr>
        <w:tc>
          <w:tcPr>
            <w:tcW w:w="1403" w:type="pct"/>
            <w:shd w:val="clear" w:color="auto" w:fill="D0CECE" w:themeFill="background2" w:themeFillShade="E6"/>
          </w:tcPr>
          <w:p w14:paraId="2833E718" w14:textId="77777777" w:rsidR="00186468" w:rsidRPr="00B213D8" w:rsidRDefault="00186468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A3544AE" w14:textId="77777777" w:rsidR="00186468" w:rsidRPr="00B213D8" w:rsidRDefault="00186468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B213D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689" w:type="pct"/>
            <w:shd w:val="clear" w:color="auto" w:fill="D0CECE" w:themeFill="background2" w:themeFillShade="E6"/>
          </w:tcPr>
          <w:p w14:paraId="1898B38F" w14:textId="77777777" w:rsidR="00186468" w:rsidRPr="00B213D8" w:rsidRDefault="00186468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706" w:type="pct"/>
            <w:shd w:val="clear" w:color="auto" w:fill="D0CECE" w:themeFill="background2" w:themeFillShade="E6"/>
          </w:tcPr>
          <w:p w14:paraId="352D4174" w14:textId="77777777" w:rsidR="00186468" w:rsidRPr="00B213D8" w:rsidRDefault="00186468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1437" w:type="pct"/>
            <w:shd w:val="clear" w:color="auto" w:fill="D0CECE" w:themeFill="background2" w:themeFillShade="E6"/>
          </w:tcPr>
          <w:p w14:paraId="2434C414" w14:textId="77777777" w:rsidR="00186468" w:rsidRPr="00B213D8" w:rsidRDefault="00186468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186468" w:rsidRPr="00B213D8" w14:paraId="1D3A3A2B" w14:textId="77777777" w:rsidTr="00D52330">
        <w:tc>
          <w:tcPr>
            <w:tcW w:w="1403" w:type="pct"/>
          </w:tcPr>
          <w:p w14:paraId="630BD174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Zakończenie postępowania w celu wyłonienia wykonawców usług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F27EE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5E5BB8AA" w14:textId="77777777" w:rsidR="00186468" w:rsidRPr="00B213D8" w:rsidRDefault="00186468" w:rsidP="00D5233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706" w:type="pct"/>
          </w:tcPr>
          <w:p w14:paraId="7FC83E7A" w14:textId="77777777" w:rsidR="00186468" w:rsidRPr="00B213D8" w:rsidRDefault="00186468" w:rsidP="00D5233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4011BDAA" w14:textId="77777777" w:rsidR="00186468" w:rsidRPr="00B213D8" w:rsidRDefault="00186468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03A5F974" w14:textId="77777777" w:rsidR="00186468" w:rsidRPr="00B213D8" w:rsidRDefault="00186468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5F90B0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4116A810" w14:textId="2037EDA9" w:rsidR="00186468" w:rsidRPr="00B213D8" w:rsidRDefault="00186468" w:rsidP="0057243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Przekroczenie terminów kamienia milowego spowodowane było opóźnieniami występującymi w rekrutacji i oddelegowaniu pracowników do realizacji projektu, co opóźniło podjęcie działań w zakresie przygotowania i przeprowadzenia postępowania na wybór Wykonaw</w:t>
            </w:r>
            <w:r w:rsidR="00BD5FEA">
              <w:rPr>
                <w:rFonts w:ascii="Arial" w:hAnsi="Arial" w:cs="Arial"/>
                <w:sz w:val="20"/>
                <w:szCs w:val="20"/>
              </w:rPr>
              <w:t>ców usług.</w:t>
            </w:r>
          </w:p>
        </w:tc>
      </w:tr>
      <w:tr w:rsidR="00186468" w:rsidRPr="00B213D8" w14:paraId="23E7A738" w14:textId="77777777" w:rsidTr="00D52330">
        <w:tc>
          <w:tcPr>
            <w:tcW w:w="1403" w:type="pct"/>
          </w:tcPr>
          <w:p w14:paraId="5DD63A9E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Kontrola jakości w zakresie wdrażania krajowych i międzynarodowych norm, WCAG 2.0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3A5AC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0147B55E" w14:textId="77777777" w:rsidR="00186468" w:rsidRPr="00B213D8" w:rsidRDefault="00186468" w:rsidP="00D5233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706" w:type="pct"/>
          </w:tcPr>
          <w:p w14:paraId="3705909F" w14:textId="77777777" w:rsidR="00186468" w:rsidRPr="00B213D8" w:rsidRDefault="00186468" w:rsidP="00D5233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6B89E373" w14:textId="77777777" w:rsidR="00186468" w:rsidRPr="00B213D8" w:rsidRDefault="00186468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  <w:tr w:rsidR="00186468" w:rsidRPr="00B213D8" w14:paraId="1E0EAAE0" w14:textId="77777777" w:rsidTr="00D52330">
        <w:tc>
          <w:tcPr>
            <w:tcW w:w="1403" w:type="pct"/>
          </w:tcPr>
          <w:p w14:paraId="0906CD2A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Rekrutacja pracowników/oddelegowanie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9721D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509BA2AB" w14:textId="77777777" w:rsidR="00186468" w:rsidRPr="00B213D8" w:rsidRDefault="00186468" w:rsidP="00D5233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706" w:type="pct"/>
          </w:tcPr>
          <w:p w14:paraId="7DBC55AE" w14:textId="77777777" w:rsidR="00186468" w:rsidRPr="00B213D8" w:rsidRDefault="00186468" w:rsidP="00D5233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1437" w:type="pct"/>
          </w:tcPr>
          <w:p w14:paraId="3D2FF311" w14:textId="77777777" w:rsidR="00186468" w:rsidRPr="00B213D8" w:rsidRDefault="00186468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738C9A94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1323F0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1D5697EA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Opóźnienie w zakresie rekrutacji i oddelegowaniu pracowników do realizacji projektu było spowodowane dwumiesięcznym </w:t>
            </w:r>
            <w:r>
              <w:rPr>
                <w:rFonts w:ascii="Arial" w:hAnsi="Arial" w:cs="Arial"/>
                <w:sz w:val="20"/>
                <w:szCs w:val="20"/>
              </w:rPr>
              <w:t>ustalaniem pomiędzy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Benefi</w:t>
            </w:r>
            <w:r>
              <w:rPr>
                <w:rFonts w:ascii="Arial" w:hAnsi="Arial" w:cs="Arial"/>
                <w:sz w:val="20"/>
                <w:szCs w:val="20"/>
              </w:rPr>
              <w:t>cjentem a Instytucją Pośredniczącą warunków zatrudniania i wynagradzania pracowników.</w:t>
            </w:r>
          </w:p>
        </w:tc>
      </w:tr>
      <w:tr w:rsidR="00186468" w:rsidRPr="00B213D8" w14:paraId="5767C3A7" w14:textId="77777777" w:rsidTr="00D52330">
        <w:tc>
          <w:tcPr>
            <w:tcW w:w="1403" w:type="pct"/>
          </w:tcPr>
          <w:p w14:paraId="33BE1610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Dostosowanie pomieszczeń do potrzeb archiwum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1309E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1192D7D8" w14:textId="77777777" w:rsidR="00186468" w:rsidRPr="00B213D8" w:rsidRDefault="00186468" w:rsidP="00D5233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10-2018</w:t>
            </w:r>
          </w:p>
        </w:tc>
        <w:tc>
          <w:tcPr>
            <w:tcW w:w="706" w:type="pct"/>
          </w:tcPr>
          <w:p w14:paraId="496F4705" w14:textId="77777777" w:rsidR="00186468" w:rsidRPr="00B213D8" w:rsidRDefault="00186468" w:rsidP="00D5233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4D046494" w14:textId="77777777" w:rsidR="00186468" w:rsidRPr="00B213D8" w:rsidRDefault="00186468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3C9372D5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A932E3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7A98EA77" w14:textId="547F4E1B" w:rsidR="00186468" w:rsidRPr="00B213D8" w:rsidRDefault="00186468" w:rsidP="00BD5FEA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Beneficjent w dniu 07.08.2018 r. wszczął postępowanie na wybór Wykonawcy prac związanych z dostosowaniem pomieszczeń. W wyniku przeprowadzonego postępowania wpłynęły oferty znacząco przewyższające kwotę, którą Beneficjent zamierza przeznaczyć na realizację zamówienia. W związku z tym postępowanie zostało unie</w:t>
            </w:r>
            <w:r w:rsidR="00BD5FEA">
              <w:rPr>
                <w:rFonts w:ascii="Arial" w:hAnsi="Arial" w:cs="Arial"/>
                <w:sz w:val="20"/>
                <w:szCs w:val="20"/>
              </w:rPr>
              <w:t>ważnione dnia 23.08.2018 r.</w:t>
            </w:r>
          </w:p>
        </w:tc>
      </w:tr>
      <w:tr w:rsidR="00186468" w:rsidRPr="00B213D8" w14:paraId="165946A8" w14:textId="77777777" w:rsidTr="00D52330">
        <w:tc>
          <w:tcPr>
            <w:tcW w:w="1403" w:type="pct"/>
          </w:tcPr>
          <w:p w14:paraId="42C9B137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Zakończenie postępowania w celu wyłonienia dostawcy sprzętów i programów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052C3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7793DD20" w14:textId="77777777" w:rsidR="00186468" w:rsidRPr="00B213D8" w:rsidRDefault="00186468" w:rsidP="00D5233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706" w:type="pct"/>
          </w:tcPr>
          <w:p w14:paraId="7E97101A" w14:textId="77777777" w:rsidR="00186468" w:rsidRPr="00B213D8" w:rsidRDefault="00186468" w:rsidP="00D5233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0451C2D7" w14:textId="77777777" w:rsidR="00186468" w:rsidRPr="00B213D8" w:rsidRDefault="00186468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4FAC5C4A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5D66D7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41DB5504" w14:textId="7C2C9A4E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Opóźnienie w wyborze podmiotu zarządzającego projektem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trudności w pozyskaniu wykonawców (dostawców) poszczególnych części zadania. Często składane oferty przewyższały kwotą budżet Beneficjenta, a także wykonawcy wycofywali swoje oferty przed podpisaniem umowy (np. z powodu braków w swoich zasobach).</w:t>
            </w:r>
          </w:p>
        </w:tc>
      </w:tr>
      <w:tr w:rsidR="00186468" w:rsidRPr="00B213D8" w14:paraId="6CC9D527" w14:textId="77777777" w:rsidTr="00D52330">
        <w:tc>
          <w:tcPr>
            <w:tcW w:w="1403" w:type="pct"/>
          </w:tcPr>
          <w:p w14:paraId="79F86A74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Odbiór sprzętu i oprogramowania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8D2A9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3556743D" w14:textId="77777777" w:rsidR="00186468" w:rsidRPr="00B213D8" w:rsidRDefault="00186468" w:rsidP="00D5233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09-2018</w:t>
            </w:r>
          </w:p>
        </w:tc>
        <w:tc>
          <w:tcPr>
            <w:tcW w:w="706" w:type="pct"/>
          </w:tcPr>
          <w:p w14:paraId="50B60FA4" w14:textId="77777777" w:rsidR="00186468" w:rsidRPr="00B213D8" w:rsidRDefault="00186468" w:rsidP="00D5233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7382EB5B" w14:textId="77777777" w:rsidR="00186468" w:rsidRPr="00B213D8" w:rsidRDefault="00186468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008BE7AA" w14:textId="77777777" w:rsidR="00186468" w:rsidRPr="00B213D8" w:rsidRDefault="00186468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4323ED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21D7BF12" w14:textId="1644568E" w:rsidR="00186468" w:rsidRPr="000162F5" w:rsidRDefault="00186468" w:rsidP="000379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Wykonawca jednego z elementów zadania nie został jeszcze pozyskany, </w:t>
            </w:r>
            <w:r w:rsidRPr="00B213D8">
              <w:rPr>
                <w:rFonts w:ascii="Arial" w:hAnsi="Arial" w:cs="Arial"/>
                <w:sz w:val="20"/>
                <w:szCs w:val="20"/>
              </w:rPr>
              <w:t>więc nie było możliwości osiągnięcia niniejszego kamienia milo</w:t>
            </w:r>
            <w:r w:rsidR="00BD5FEA">
              <w:rPr>
                <w:rFonts w:ascii="Arial" w:hAnsi="Arial" w:cs="Arial"/>
                <w:sz w:val="20"/>
                <w:szCs w:val="20"/>
              </w:rPr>
              <w:t xml:space="preserve">wego. </w:t>
            </w:r>
          </w:p>
        </w:tc>
      </w:tr>
      <w:tr w:rsidR="00186468" w:rsidRPr="00B213D8" w14:paraId="44E07839" w14:textId="77777777" w:rsidTr="00D52330">
        <w:tc>
          <w:tcPr>
            <w:tcW w:w="1403" w:type="pct"/>
          </w:tcPr>
          <w:p w14:paraId="16031B2D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Przeprowadzenie szkolenia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6574E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7 – wartość docelowa: 3 szt.</w:t>
            </w:r>
          </w:p>
        </w:tc>
        <w:tc>
          <w:tcPr>
            <w:tcW w:w="689" w:type="pct"/>
          </w:tcPr>
          <w:p w14:paraId="0FC00988" w14:textId="77777777" w:rsidR="00186468" w:rsidRPr="00B213D8" w:rsidRDefault="00186468" w:rsidP="00D5233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09-2018</w:t>
            </w:r>
          </w:p>
        </w:tc>
        <w:tc>
          <w:tcPr>
            <w:tcW w:w="706" w:type="pct"/>
          </w:tcPr>
          <w:p w14:paraId="553A50BD" w14:textId="77777777" w:rsidR="00186468" w:rsidRPr="00B213D8" w:rsidRDefault="00186468" w:rsidP="00D5233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3938548D" w14:textId="77777777" w:rsidR="00186468" w:rsidRPr="00B213D8" w:rsidRDefault="00186468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411082A9" w14:textId="77777777" w:rsidR="00186468" w:rsidRPr="00B213D8" w:rsidRDefault="00186468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715447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36FDE254" w14:textId="09604409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 związku z brakiem dokonania wyboru Wykonawcy realizacji dostosowania pomieszczeń oraz Dostawcy sprzętu i oprogramowania nie zrealizowano kamienia milowego w zakładanym terminie. Zakres kamienia milowego obejmuje przeprowadzenie 3 bloków szkoleń po jednym w każdym roku realizacji projektu. W 2018 roku zrealizowano pierwszy blok szkole</w:t>
            </w:r>
            <w:r w:rsidR="00BD5FEA">
              <w:rPr>
                <w:rFonts w:ascii="Arial" w:hAnsi="Arial" w:cs="Arial"/>
                <w:sz w:val="20"/>
                <w:szCs w:val="20"/>
              </w:rPr>
              <w:t>niowy.</w:t>
            </w:r>
          </w:p>
        </w:tc>
      </w:tr>
      <w:tr w:rsidR="00186468" w:rsidRPr="00B213D8" w14:paraId="2FBC9B90" w14:textId="77777777" w:rsidTr="00D52330">
        <w:tc>
          <w:tcPr>
            <w:tcW w:w="1403" w:type="pct"/>
          </w:tcPr>
          <w:p w14:paraId="7270F606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Zakończenie postępowania w celu wyłonienia dostawcy sprzętu i wyposażenia archiwum modułowego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B43C8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49843662" w14:textId="77777777" w:rsidR="00186468" w:rsidRPr="00B213D8" w:rsidRDefault="00186468" w:rsidP="00D5233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706" w:type="pct"/>
          </w:tcPr>
          <w:p w14:paraId="702728A3" w14:textId="16AF65C8" w:rsidR="00186468" w:rsidRPr="00B213D8" w:rsidRDefault="00186468" w:rsidP="00D5233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1437" w:type="pct"/>
          </w:tcPr>
          <w:p w14:paraId="294EE9A8" w14:textId="5872614E" w:rsidR="00186468" w:rsidRPr="00B213D8" w:rsidRDefault="00186468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53668FD9" w14:textId="77777777" w:rsidR="00186468" w:rsidRPr="00B213D8" w:rsidRDefault="00186468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A94C0E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4C45E059" w14:textId="3E6748C2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Opóźnienie w wyborze podmiotu zarządzającego projek</w:t>
            </w:r>
            <w:r w:rsidR="00BD5FEA">
              <w:rPr>
                <w:rFonts w:ascii="Arial" w:hAnsi="Arial" w:cs="Arial"/>
                <w:sz w:val="20"/>
                <w:szCs w:val="20"/>
              </w:rPr>
              <w:t>tem.</w:t>
            </w:r>
          </w:p>
        </w:tc>
      </w:tr>
      <w:tr w:rsidR="00186468" w:rsidRPr="00B213D8" w14:paraId="660B9725" w14:textId="77777777" w:rsidTr="00D52330">
        <w:tc>
          <w:tcPr>
            <w:tcW w:w="1403" w:type="pct"/>
          </w:tcPr>
          <w:p w14:paraId="71A8A5FF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Odbiór powstałego archiwum modułowego na zasoby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51ACD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6F120B5A" w14:textId="77777777" w:rsidR="00186468" w:rsidRPr="00B213D8" w:rsidRDefault="00186468" w:rsidP="00D5233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01-2019</w:t>
            </w:r>
          </w:p>
        </w:tc>
        <w:tc>
          <w:tcPr>
            <w:tcW w:w="706" w:type="pct"/>
          </w:tcPr>
          <w:p w14:paraId="224A76A8" w14:textId="6FE7D8CB" w:rsidR="00186468" w:rsidRPr="00B213D8" w:rsidRDefault="00186468" w:rsidP="0007049E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</w:t>
            </w:r>
            <w:r w:rsidR="0007049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7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-2019</w:t>
            </w:r>
          </w:p>
        </w:tc>
        <w:tc>
          <w:tcPr>
            <w:tcW w:w="1437" w:type="pct"/>
          </w:tcPr>
          <w:p w14:paraId="1DB6C15B" w14:textId="4F8E3AF1" w:rsidR="00186468" w:rsidRPr="00B213D8" w:rsidRDefault="00186468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  <w:p w14:paraId="07248DFD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67D2CB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6413C8CF" w14:textId="2B16A80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Opóźnienia w wyborze </w:t>
            </w:r>
            <w:r w:rsidRPr="00B213D8">
              <w:rPr>
                <w:rFonts w:ascii="Arial" w:hAnsi="Arial" w:cs="Arial"/>
                <w:sz w:val="20"/>
                <w:szCs w:val="20"/>
              </w:rPr>
              <w:t>dostawców archiwum modułowego i wyposażenia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86468" w:rsidRPr="00B213D8" w14:paraId="27076A6C" w14:textId="77777777" w:rsidTr="00D52330">
        <w:tc>
          <w:tcPr>
            <w:tcW w:w="1403" w:type="pct"/>
          </w:tcPr>
          <w:p w14:paraId="65B2607F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Budowa portalu do udostępniania zasobów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CE439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 – wartość docelowa: 1,0 szt.</w:t>
            </w:r>
          </w:p>
          <w:p w14:paraId="603C0A63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2 – wartość docelowa: 123 310,0 szt./rok</w:t>
            </w:r>
          </w:p>
          <w:p w14:paraId="7A677431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5 – wartość docelowa: 1,0 szt.</w:t>
            </w:r>
          </w:p>
          <w:p w14:paraId="6DE18225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6 – wartość docelowa: 69 476,0 szt.</w:t>
            </w:r>
          </w:p>
          <w:p w14:paraId="7F4AB980" w14:textId="77777777" w:rsidR="0018646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8 – wartość docelowa: 1,0 szt.</w:t>
            </w:r>
          </w:p>
          <w:p w14:paraId="70BB71A3" w14:textId="77777777" w:rsidR="0018646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– wartość docelowa: 3,2 TB</w:t>
            </w:r>
          </w:p>
          <w:p w14:paraId="62036A15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B213D8">
              <w:rPr>
                <w:rFonts w:ascii="Arial" w:hAnsi="Arial" w:cs="Arial"/>
                <w:sz w:val="20"/>
                <w:szCs w:val="20"/>
              </w:rPr>
              <w:t xml:space="preserve"> – wartość docelowa: 1,0 szt.</w:t>
            </w:r>
          </w:p>
        </w:tc>
        <w:tc>
          <w:tcPr>
            <w:tcW w:w="689" w:type="pct"/>
          </w:tcPr>
          <w:p w14:paraId="380988D0" w14:textId="77777777" w:rsidR="00186468" w:rsidRPr="00B213D8" w:rsidRDefault="00186468" w:rsidP="00D5233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01-2019</w:t>
            </w:r>
          </w:p>
        </w:tc>
        <w:tc>
          <w:tcPr>
            <w:tcW w:w="706" w:type="pct"/>
          </w:tcPr>
          <w:p w14:paraId="60D25D97" w14:textId="77777777" w:rsidR="00186468" w:rsidRPr="00B213D8" w:rsidRDefault="00186468" w:rsidP="00D5233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015D5562" w14:textId="77777777" w:rsidR="00186468" w:rsidRPr="00B213D8" w:rsidRDefault="00186468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  <w:p w14:paraId="74A136D0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C0BBD4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213D8">
              <w:rPr>
                <w:rFonts w:ascii="Arial" w:hAnsi="Arial" w:cs="Arial"/>
                <w:sz w:val="20"/>
                <w:szCs w:val="20"/>
                <w:u w:val="single"/>
              </w:rPr>
              <w:t>PRZYCZYNY PRZEKROCZENIA TERMINU</w:t>
            </w:r>
          </w:p>
          <w:p w14:paraId="4C745C58" w14:textId="650443F2" w:rsidR="00186468" w:rsidRPr="00B213D8" w:rsidRDefault="00186468" w:rsidP="008942F1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Opóźnienie w wyborze podmiotu zarządzającego projektem.</w:t>
            </w:r>
            <w:r>
              <w:rPr>
                <w:rFonts w:ascii="Arial" w:hAnsi="Arial" w:cs="Arial"/>
                <w:sz w:val="20"/>
                <w:szCs w:val="20"/>
              </w:rPr>
              <w:t xml:space="preserve"> Opóźnienia w dostawach (wynikające z trudności pozyskania wykonawców) infrastruktury koniecznej do integracji oprogramowania.</w:t>
            </w:r>
          </w:p>
        </w:tc>
      </w:tr>
      <w:tr w:rsidR="00186468" w:rsidRPr="00B213D8" w14:paraId="58190C13" w14:textId="77777777" w:rsidTr="00D52330">
        <w:tc>
          <w:tcPr>
            <w:tcW w:w="1403" w:type="pct"/>
          </w:tcPr>
          <w:p w14:paraId="628A6B87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Digitalizacja zasobów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C0004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3 – wartość docelowa: 3,2 TB</w:t>
            </w:r>
          </w:p>
          <w:p w14:paraId="45A9A1D3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4 – wartość docelowa: 69 476,0 szt.</w:t>
            </w:r>
          </w:p>
        </w:tc>
        <w:tc>
          <w:tcPr>
            <w:tcW w:w="689" w:type="pct"/>
          </w:tcPr>
          <w:p w14:paraId="17B1E59C" w14:textId="77777777" w:rsidR="00186468" w:rsidRPr="00B213D8" w:rsidRDefault="00186468" w:rsidP="00D5233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706" w:type="pct"/>
          </w:tcPr>
          <w:p w14:paraId="1EC24FDD" w14:textId="77777777" w:rsidR="00186468" w:rsidRPr="00B213D8" w:rsidRDefault="00186468" w:rsidP="00D5233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1F7EA1FC" w14:textId="77777777" w:rsidR="00186468" w:rsidRPr="00B213D8" w:rsidRDefault="00186468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</w:tc>
      </w:tr>
      <w:tr w:rsidR="00186468" w:rsidRPr="00B213D8" w14:paraId="53DAC06A" w14:textId="77777777" w:rsidTr="00D52330">
        <w:tc>
          <w:tcPr>
            <w:tcW w:w="1403" w:type="pct"/>
          </w:tcPr>
          <w:p w14:paraId="53F11256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Działania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informacyjno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– promocyjne w trakcie realizacji projektu, zgodnie z planem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95A7C" w14:textId="77777777" w:rsidR="00186468" w:rsidRPr="00B213D8" w:rsidRDefault="00186468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9" w:type="pct"/>
          </w:tcPr>
          <w:p w14:paraId="18F140CF" w14:textId="77777777" w:rsidR="00186468" w:rsidRPr="00B213D8" w:rsidRDefault="00186468" w:rsidP="00D52330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706" w:type="pct"/>
          </w:tcPr>
          <w:p w14:paraId="7A4FFF0A" w14:textId="77777777" w:rsidR="00186468" w:rsidRPr="00B213D8" w:rsidRDefault="00186468" w:rsidP="00D52330">
            <w:pPr>
              <w:pStyle w:val="Akapitzlist"/>
              <w:ind w:left="7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7" w:type="pct"/>
          </w:tcPr>
          <w:p w14:paraId="6E79DB30" w14:textId="222BC6FC" w:rsidR="00186468" w:rsidRPr="00BD5FEA" w:rsidRDefault="00186468" w:rsidP="00BC4F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 trakcie realizacji</w:t>
            </w:r>
          </w:p>
        </w:tc>
      </w:tr>
    </w:tbl>
    <w:p w14:paraId="7ED68287" w14:textId="77777777" w:rsidR="00FF7087" w:rsidRPr="00141A92" w:rsidRDefault="00FF7087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B9766A" w:rsidRPr="00B213D8" w14:paraId="789D231B" w14:textId="77777777" w:rsidTr="00D52330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48986FBD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B037084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6E003D09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1A326E3E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BBC10A0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8D68446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9766A" w:rsidRPr="00B213D8" w14:paraId="23C0FF11" w14:textId="77777777" w:rsidTr="00D52330">
        <w:tc>
          <w:tcPr>
            <w:tcW w:w="2545" w:type="dxa"/>
          </w:tcPr>
          <w:p w14:paraId="3F58AD0F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47F3E1A7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224AF43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0464974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20B3A1C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7D2666BF" w14:textId="77777777" w:rsidTr="00D52330">
        <w:tc>
          <w:tcPr>
            <w:tcW w:w="2545" w:type="dxa"/>
          </w:tcPr>
          <w:p w14:paraId="3E06002C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pobrań/</w:t>
            </w:r>
            <w:proofErr w:type="spellStart"/>
            <w:r w:rsidRPr="007F5812">
              <w:rPr>
                <w:rFonts w:cs="Arial"/>
                <w:sz w:val="20"/>
                <w:szCs w:val="20"/>
                <w:lang w:val="pl-PL" w:eastAsia="pl-PL"/>
              </w:rPr>
              <w:t>odtworzeń</w:t>
            </w:r>
            <w:proofErr w:type="spellEnd"/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07417F64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76C0C5E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123 310,0</w:t>
            </w:r>
          </w:p>
        </w:tc>
        <w:tc>
          <w:tcPr>
            <w:tcW w:w="1701" w:type="dxa"/>
          </w:tcPr>
          <w:p w14:paraId="5C7590C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07-2022</w:t>
            </w:r>
          </w:p>
        </w:tc>
        <w:tc>
          <w:tcPr>
            <w:tcW w:w="2268" w:type="dxa"/>
          </w:tcPr>
          <w:p w14:paraId="253F016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1DBFE8CF" w14:textId="77777777" w:rsidTr="00D52330">
        <w:tc>
          <w:tcPr>
            <w:tcW w:w="2545" w:type="dxa"/>
          </w:tcPr>
          <w:p w14:paraId="45409769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Rozmiar </w:t>
            </w:r>
            <w:proofErr w:type="spellStart"/>
            <w:r w:rsidRPr="007F5812">
              <w:rPr>
                <w:rFonts w:cs="Arial"/>
                <w:sz w:val="20"/>
                <w:szCs w:val="20"/>
                <w:lang w:val="pl-PL" w:eastAsia="pl-PL"/>
              </w:rPr>
              <w:t>zdigitalizowanej</w:t>
            </w:r>
            <w:proofErr w:type="spellEnd"/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59FD71E2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6B06C3A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1701" w:type="dxa"/>
          </w:tcPr>
          <w:p w14:paraId="7D8D456B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FAD130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2E026F59" w14:textId="77777777" w:rsidTr="00D52330">
        <w:tc>
          <w:tcPr>
            <w:tcW w:w="2545" w:type="dxa"/>
          </w:tcPr>
          <w:p w14:paraId="66530AF0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Liczba </w:t>
            </w:r>
            <w:proofErr w:type="spellStart"/>
            <w:r w:rsidRPr="007F5812">
              <w:rPr>
                <w:rFonts w:cs="Arial"/>
                <w:sz w:val="20"/>
                <w:szCs w:val="20"/>
                <w:lang w:val="pl-PL" w:eastAsia="pl-PL"/>
              </w:rPr>
              <w:t>zdigitalizowanych</w:t>
            </w:r>
            <w:proofErr w:type="spellEnd"/>
            <w:r w:rsidRPr="007F5812">
              <w:rPr>
                <w:rFonts w:cs="Arial"/>
                <w:sz w:val="20"/>
                <w:szCs w:val="20"/>
                <w:lang w:val="pl-PL" w:eastAsia="pl-PL"/>
              </w:rPr>
              <w:t xml:space="preserve"> dokumentów </w:t>
            </w:r>
            <w:r w:rsidRPr="007F5812">
              <w:rPr>
                <w:rFonts w:cs="Arial"/>
                <w:sz w:val="20"/>
                <w:szCs w:val="20"/>
                <w:lang w:val="pl-PL" w:eastAsia="pl-PL"/>
              </w:rPr>
              <w:lastRenderedPageBreak/>
              <w:t>zawierających informacje sektora publicznego</w:t>
            </w:r>
          </w:p>
        </w:tc>
        <w:tc>
          <w:tcPr>
            <w:tcW w:w="1278" w:type="dxa"/>
          </w:tcPr>
          <w:p w14:paraId="1AD78CCE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842" w:type="dxa"/>
          </w:tcPr>
          <w:p w14:paraId="5A4178B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69 476,0</w:t>
            </w:r>
          </w:p>
        </w:tc>
        <w:tc>
          <w:tcPr>
            <w:tcW w:w="1701" w:type="dxa"/>
          </w:tcPr>
          <w:p w14:paraId="1CC152C3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3F90B87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5B58B7D2" w14:textId="77777777" w:rsidTr="00D52330">
        <w:tc>
          <w:tcPr>
            <w:tcW w:w="2545" w:type="dxa"/>
          </w:tcPr>
          <w:p w14:paraId="2E767E4D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utworzonych API</w:t>
            </w:r>
          </w:p>
        </w:tc>
        <w:tc>
          <w:tcPr>
            <w:tcW w:w="1278" w:type="dxa"/>
          </w:tcPr>
          <w:p w14:paraId="12D8291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9AC238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2BDBCE4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2A856AA3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45C7B75E" w14:textId="77777777" w:rsidTr="00D52330">
        <w:tc>
          <w:tcPr>
            <w:tcW w:w="2545" w:type="dxa"/>
          </w:tcPr>
          <w:p w14:paraId="7590CD80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4F289C03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63F60A4F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69 476,0</w:t>
            </w:r>
          </w:p>
        </w:tc>
        <w:tc>
          <w:tcPr>
            <w:tcW w:w="1701" w:type="dxa"/>
          </w:tcPr>
          <w:p w14:paraId="70F6762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3A1EAC6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66063F56" w14:textId="77777777" w:rsidTr="00D52330">
        <w:tc>
          <w:tcPr>
            <w:tcW w:w="2545" w:type="dxa"/>
          </w:tcPr>
          <w:p w14:paraId="19D2587C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przeprowadzonych bloków szkoleniowych</w:t>
            </w:r>
          </w:p>
        </w:tc>
        <w:tc>
          <w:tcPr>
            <w:tcW w:w="1278" w:type="dxa"/>
          </w:tcPr>
          <w:p w14:paraId="35993D87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2DA2B8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1701" w:type="dxa"/>
          </w:tcPr>
          <w:p w14:paraId="16C4987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0F19A61C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9766A" w:rsidRPr="00B213D8" w14:paraId="4A480B8D" w14:textId="77777777" w:rsidTr="00D52330">
        <w:tc>
          <w:tcPr>
            <w:tcW w:w="2545" w:type="dxa"/>
          </w:tcPr>
          <w:p w14:paraId="18B8A4CE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7E972F2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8F8CD7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4BEF80C9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3E2C7317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4F1B43" w14:paraId="432DD83F" w14:textId="77777777" w:rsidTr="00D52330">
        <w:tc>
          <w:tcPr>
            <w:tcW w:w="2545" w:type="dxa"/>
          </w:tcPr>
          <w:p w14:paraId="48F00407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3AD75849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7262B6E4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3,2</w:t>
            </w:r>
          </w:p>
        </w:tc>
        <w:tc>
          <w:tcPr>
            <w:tcW w:w="1701" w:type="dxa"/>
          </w:tcPr>
          <w:p w14:paraId="500F48E1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F5812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756BC9E9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9766A" w:rsidRPr="00B213D8" w14:paraId="11AABDAD" w14:textId="77777777" w:rsidTr="00D52330">
        <w:tc>
          <w:tcPr>
            <w:tcW w:w="2545" w:type="dxa"/>
          </w:tcPr>
          <w:p w14:paraId="50CDB23E" w14:textId="77777777" w:rsidR="00B9766A" w:rsidRPr="007F5812" w:rsidRDefault="00B9766A" w:rsidP="00D52330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20"/>
                <w:szCs w:val="20"/>
                <w:lang w:val="pl-PL" w:eastAsia="pl-PL"/>
              </w:rPr>
            </w:pPr>
            <w:r w:rsidRPr="007F5812">
              <w:rPr>
                <w:rFonts w:cs="Arial"/>
                <w:sz w:val="20"/>
                <w:szCs w:val="20"/>
                <w:lang w:val="pl-PL"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7E3BC7B1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668C2F7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14:paraId="0C0C6CB4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F5812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53B2E93D" w14:textId="77777777" w:rsidR="00B9766A" w:rsidRPr="007F5812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7F5812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1FD39DCE" w14:textId="77777777" w:rsidR="00B9766A" w:rsidRPr="00141A92" w:rsidRDefault="00B9766A" w:rsidP="00B9766A">
      <w:pPr>
        <w:spacing w:after="120"/>
        <w:rPr>
          <w:rFonts w:ascii="Arial" w:hAnsi="Arial" w:cs="Arial"/>
          <w:b/>
          <w:sz w:val="20"/>
          <w:szCs w:val="20"/>
        </w:rPr>
      </w:pPr>
    </w:p>
    <w:p w14:paraId="52A08447" w14:textId="77777777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B9766A" w:rsidRPr="00B213D8" w14:paraId="78CF61B8" w14:textId="77777777" w:rsidTr="00D52330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463D7BB8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3FC02ECA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4ACFD945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22CEF666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9766A" w:rsidRPr="00B213D8" w14:paraId="3297BC01" w14:textId="77777777" w:rsidTr="00D52330">
        <w:tc>
          <w:tcPr>
            <w:tcW w:w="2797" w:type="dxa"/>
          </w:tcPr>
          <w:p w14:paraId="46E4D8A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61" w:type="dxa"/>
          </w:tcPr>
          <w:p w14:paraId="5458BF28" w14:textId="77777777" w:rsidR="00B9766A" w:rsidRPr="00B213D8" w:rsidRDefault="00B9766A" w:rsidP="00D52330">
            <w:pPr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1395" w:type="dxa"/>
          </w:tcPr>
          <w:p w14:paraId="6BAA53B8" w14:textId="77777777" w:rsidR="00B9766A" w:rsidRPr="00B213D8" w:rsidRDefault="00B9766A" w:rsidP="00D52330">
            <w:pPr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4181" w:type="dxa"/>
          </w:tcPr>
          <w:p w14:paraId="005AB32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ADBD22" w14:textId="77777777" w:rsidR="00B9766A" w:rsidRPr="00B9766A" w:rsidRDefault="00B9766A" w:rsidP="00B9766A">
      <w:pPr>
        <w:spacing w:after="120"/>
      </w:pPr>
    </w:p>
    <w:p w14:paraId="526AAE7B" w14:textId="77777777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B9766A" w:rsidRPr="00B213D8" w14:paraId="6CE70F75" w14:textId="77777777" w:rsidTr="00D52330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4D35BA5C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213B478C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7A347D74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4ABDC2CD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9766A" w:rsidRPr="00B213D8" w14:paraId="59BA7F07" w14:textId="77777777" w:rsidTr="00D52330">
        <w:tc>
          <w:tcPr>
            <w:tcW w:w="2969" w:type="dxa"/>
          </w:tcPr>
          <w:p w14:paraId="7748E54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Tzw. „kolekcja mózgów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1261" w:type="dxa"/>
          </w:tcPr>
          <w:p w14:paraId="4291A71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68C421C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474FC16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B9766A" w:rsidRPr="00B213D8" w14:paraId="11138ED5" w14:textId="77777777" w:rsidTr="00D52330">
        <w:tc>
          <w:tcPr>
            <w:tcW w:w="2969" w:type="dxa"/>
          </w:tcPr>
          <w:p w14:paraId="62A812BF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Bloczki parafinowe określonych struktur mózgu</w:t>
            </w:r>
          </w:p>
        </w:tc>
        <w:tc>
          <w:tcPr>
            <w:tcW w:w="1261" w:type="dxa"/>
          </w:tcPr>
          <w:p w14:paraId="64E4161B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1D30F92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7AD323DB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B9766A" w:rsidRPr="00B213D8" w14:paraId="64C5F0F4" w14:textId="77777777" w:rsidTr="00D52330">
        <w:tc>
          <w:tcPr>
            <w:tcW w:w="2969" w:type="dxa"/>
          </w:tcPr>
          <w:p w14:paraId="365B480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Preparaty histologiczne i/lub immunochemiczne</w:t>
            </w:r>
          </w:p>
        </w:tc>
        <w:tc>
          <w:tcPr>
            <w:tcW w:w="1261" w:type="dxa"/>
          </w:tcPr>
          <w:p w14:paraId="66E7661F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56459FD5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48118FC9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  <w:tr w:rsidR="00B9766A" w:rsidRPr="00B213D8" w14:paraId="687EA550" w14:textId="77777777" w:rsidTr="00D52330">
        <w:tc>
          <w:tcPr>
            <w:tcW w:w="2969" w:type="dxa"/>
          </w:tcPr>
          <w:p w14:paraId="18B99FC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Protokół badania neuropatologicznego, karta pobrania materiału, epikryza, wyniki badań laboratoryjnych/ sekcyjnych</w:t>
            </w:r>
          </w:p>
        </w:tc>
        <w:tc>
          <w:tcPr>
            <w:tcW w:w="1261" w:type="dxa"/>
          </w:tcPr>
          <w:p w14:paraId="2434492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395" w:type="dxa"/>
          </w:tcPr>
          <w:p w14:paraId="04E804B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009" w:type="dxa"/>
          </w:tcPr>
          <w:p w14:paraId="5408966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 wprowadzono zmian</w:t>
            </w:r>
          </w:p>
        </w:tc>
      </w:tr>
    </w:tbl>
    <w:p w14:paraId="6009E375" w14:textId="77777777" w:rsidR="00B9766A" w:rsidRPr="00B9766A" w:rsidRDefault="00B9766A" w:rsidP="00B9766A">
      <w:pPr>
        <w:spacing w:after="120"/>
      </w:pPr>
    </w:p>
    <w:p w14:paraId="2598878D" w14:textId="77777777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B9766A" w:rsidRPr="00B213D8" w14:paraId="1479069B" w14:textId="77777777" w:rsidTr="00D52330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328BAB1C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3302877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98D2828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74A78F3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1F0EC3C4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766A" w:rsidRPr="00B213D8" w14:paraId="4CCF6D46" w14:textId="77777777" w:rsidTr="00D52330">
        <w:tc>
          <w:tcPr>
            <w:tcW w:w="2547" w:type="dxa"/>
          </w:tcPr>
          <w:p w14:paraId="01FF17F8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Baza danych naukowych – Digital Brain wraz z API (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WebAPI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14:paraId="3247264A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843" w:type="dxa"/>
          </w:tcPr>
          <w:p w14:paraId="6E94AA44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543" w:type="dxa"/>
          </w:tcPr>
          <w:p w14:paraId="5854EB30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System bazodanowy będzie komplementarny między innymi z systemem KRONIK@</w:t>
            </w:r>
          </w:p>
        </w:tc>
      </w:tr>
    </w:tbl>
    <w:p w14:paraId="69AEC409" w14:textId="77777777" w:rsidR="00B9766A" w:rsidRDefault="00B9766A" w:rsidP="00B9766A">
      <w:pPr>
        <w:spacing w:after="120"/>
      </w:pPr>
    </w:p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5328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  <w:tblCaption w:val="Ryzyka wpływające na realizację projektu."/>
      </w:tblPr>
      <w:tblGrid>
        <w:gridCol w:w="1983"/>
        <w:gridCol w:w="1416"/>
        <w:gridCol w:w="1843"/>
        <w:gridCol w:w="4418"/>
      </w:tblGrid>
      <w:tr w:rsidR="00B9766A" w:rsidRPr="00B213D8" w14:paraId="11E59ED3" w14:textId="77777777" w:rsidTr="00D52330">
        <w:trPr>
          <w:cantSplit/>
          <w:tblHeader/>
        </w:trPr>
        <w:tc>
          <w:tcPr>
            <w:tcW w:w="102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7FE966B1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7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3815A211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9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30F73321" w14:textId="77777777" w:rsidR="00B9766A" w:rsidRPr="00B213D8" w:rsidRDefault="00B9766A" w:rsidP="00D523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2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0CECE" w:themeFill="background2" w:themeFillShade="E6"/>
          </w:tcPr>
          <w:p w14:paraId="1671415F" w14:textId="77777777" w:rsidR="00B9766A" w:rsidRPr="00B213D8" w:rsidRDefault="00B9766A" w:rsidP="00D52330">
            <w:pPr>
              <w:pStyle w:val="Akapitzlist"/>
              <w:ind w:left="462" w:hanging="283"/>
              <w:rPr>
                <w:rFonts w:ascii="Arial" w:hAnsi="Arial" w:cs="Arial"/>
                <w:b/>
                <w:sz w:val="20"/>
                <w:szCs w:val="20"/>
              </w:rPr>
            </w:pPr>
            <w:r w:rsidRPr="00B213D8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9766A" w:rsidRPr="00B213D8" w14:paraId="62717AF5" w14:textId="77777777" w:rsidTr="00D52330">
        <w:trPr>
          <w:cantSplit/>
        </w:trPr>
        <w:tc>
          <w:tcPr>
            <w:tcW w:w="1026" w:type="pct"/>
          </w:tcPr>
          <w:p w14:paraId="7320F7AA" w14:textId="77777777" w:rsidR="00B9766A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Wybór wykonawcy bazy danych</w:t>
            </w:r>
          </w:p>
          <w:p w14:paraId="310AB8CE" w14:textId="08DE9236" w:rsidR="00286E4D" w:rsidRPr="00954AC1" w:rsidRDefault="00286E4D" w:rsidP="00587BD2">
            <w:pP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zdarzenie dokonane</w:t>
            </w:r>
          </w:p>
        </w:tc>
        <w:tc>
          <w:tcPr>
            <w:tcW w:w="733" w:type="pct"/>
          </w:tcPr>
          <w:p w14:paraId="03607A80" w14:textId="6D3C785B" w:rsidR="00BD5FEA" w:rsidRPr="00286E4D" w:rsidRDefault="00B9766A" w:rsidP="00D52330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BD5FEA">
              <w:rPr>
                <w:rFonts w:ascii="Arial" w:hAnsi="Arial" w:cs="Arial"/>
                <w:strike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274834CD" w14:textId="3828721F" w:rsidR="00BD5FEA" w:rsidRPr="00286E4D" w:rsidRDefault="00286E4D" w:rsidP="00D52330">
            <w:p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Duża</w:t>
            </w:r>
          </w:p>
        </w:tc>
        <w:tc>
          <w:tcPr>
            <w:tcW w:w="2287" w:type="pct"/>
          </w:tcPr>
          <w:p w14:paraId="422FB196" w14:textId="77777777" w:rsidR="00BD5FEA" w:rsidRDefault="00B9766A" w:rsidP="00286E4D">
            <w:pPr>
              <w:pStyle w:val="Akapitzlist"/>
              <w:numPr>
                <w:ilvl w:val="0"/>
                <w:numId w:val="24"/>
              </w:numPr>
              <w:ind w:left="283" w:hanging="283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Wybór Wykonawcy będzie miał kluczowe znaczenie dla projektu. Wybór wykonawcy odbędzie się w trybie ustawy Prawo zamówień publicznych. Postępowanie przetargowe będzie prowadzone przez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i jego dział zamówień publicznych, który posiada duże doświadczenie w prowadzeniu procedur w trybie ww. ustawy. W umowie przewidziane zostaną odpowiednie zabezpieczenia mające na celu ochronę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przed niekorzystnym działaniem wybranego Wykonawcy. </w:t>
            </w:r>
          </w:p>
          <w:p w14:paraId="181E6E13" w14:textId="32A806FD" w:rsidR="00286E4D" w:rsidRPr="00BD5FEA" w:rsidRDefault="00286E4D" w:rsidP="00286E4D">
            <w:pPr>
              <w:pStyle w:val="Akapitzlist"/>
              <w:numPr>
                <w:ilvl w:val="0"/>
                <w:numId w:val="24"/>
              </w:numPr>
              <w:ind w:left="283" w:hanging="283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Status ryzyka: Zamknięte</w:t>
            </w:r>
          </w:p>
        </w:tc>
      </w:tr>
      <w:tr w:rsidR="00B9766A" w:rsidRPr="00B213D8" w14:paraId="607CAE51" w14:textId="77777777" w:rsidTr="00D52330">
        <w:trPr>
          <w:cantSplit/>
        </w:trPr>
        <w:tc>
          <w:tcPr>
            <w:tcW w:w="1026" w:type="pct"/>
          </w:tcPr>
          <w:p w14:paraId="368701B7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Opóźnienia w akceptacji produktów przez Komitet Sterujący i/lub Zarząd</w:t>
            </w:r>
          </w:p>
        </w:tc>
        <w:tc>
          <w:tcPr>
            <w:tcW w:w="733" w:type="pct"/>
          </w:tcPr>
          <w:p w14:paraId="745994DB" w14:textId="77777777" w:rsidR="00B9766A" w:rsidRPr="00B213D8" w:rsidRDefault="00B9766A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954" w:type="pct"/>
          </w:tcPr>
          <w:p w14:paraId="2BB08B6C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</w:tcPr>
          <w:p w14:paraId="2EE17D6F" w14:textId="77777777" w:rsidR="00B9766A" w:rsidRPr="00B213D8" w:rsidRDefault="00B9766A" w:rsidP="00286E4D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Określenie precyzyjnych procedur w zakresie akceptacji produktów przez KS/Zarząd.</w:t>
            </w:r>
          </w:p>
          <w:p w14:paraId="4FD8C26D" w14:textId="77777777" w:rsidR="00286E4D" w:rsidRDefault="00B9766A" w:rsidP="00286E4D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</w:rPr>
              <w:t>Ocena możliwości / opracowanie procedur zwołania Zarządu specjalnie w celu akceptacji produktów Jednostek Zadaniowych.</w:t>
            </w:r>
          </w:p>
          <w:p w14:paraId="21FDF291" w14:textId="7E3FDB58" w:rsidR="00286E4D" w:rsidRPr="00286E4D" w:rsidRDefault="00286E4D" w:rsidP="00286E4D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005F2013" w14:textId="49A7C097" w:rsidR="00286E4D" w:rsidRPr="00286E4D" w:rsidRDefault="00286E4D" w:rsidP="00286E4D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Nie nastąpiła zmiana oceny ryzyka w stosunku do ostatniego okresu sprawozdawczego.</w:t>
            </w:r>
          </w:p>
          <w:p w14:paraId="1B95E4F1" w14:textId="08A660DA" w:rsidR="00286E4D" w:rsidRPr="00B213D8" w:rsidRDefault="00286E4D" w:rsidP="00954AC1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 w:rsidR="00954AC1"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4CC4E915" w14:textId="77777777" w:rsidTr="00D52330">
        <w:trPr>
          <w:cantSplit/>
        </w:trPr>
        <w:tc>
          <w:tcPr>
            <w:tcW w:w="1026" w:type="pct"/>
          </w:tcPr>
          <w:p w14:paraId="2A383F2E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Brak zakładanego zaangażowania pracowników w uczestnictwo</w:t>
            </w:r>
          </w:p>
        </w:tc>
        <w:tc>
          <w:tcPr>
            <w:tcW w:w="733" w:type="pct"/>
          </w:tcPr>
          <w:p w14:paraId="4ADC94D0" w14:textId="77777777" w:rsidR="00B9766A" w:rsidRPr="00B213D8" w:rsidRDefault="00B9766A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0B45C5E2" w14:textId="3FAC5B3B" w:rsidR="00954AC1" w:rsidRPr="00954AC1" w:rsidRDefault="00954AC1" w:rsidP="00D52330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954AC1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287" w:type="pct"/>
          </w:tcPr>
          <w:p w14:paraId="0EC52C2C" w14:textId="198BADC1" w:rsidR="00B9766A" w:rsidRPr="00B213D8" w:rsidRDefault="00B9766A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Właściwe umocowanie Komitetu Sterującego Projektu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7843378" w14:textId="1E958C5F" w:rsidR="00B9766A" w:rsidRDefault="00B9766A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Komunikacja celów oraz zakresu projektu w organizacji (np. poprzez spotkania z kluczowymi przedstawicielami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oraz pracownikami)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E6BAEAC" w14:textId="77777777" w:rsidR="00954AC1" w:rsidRPr="00286E4D" w:rsidRDefault="00954AC1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2418D0EE" w14:textId="3061FA2F" w:rsidR="00954AC1" w:rsidRPr="00286E4D" w:rsidRDefault="00954AC1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(zmiana z Dużego na Średnie)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3D3C48E2" w14:textId="4DE34F85" w:rsidR="00286E4D" w:rsidRPr="00B213D8" w:rsidRDefault="00954AC1" w:rsidP="00954AC1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2D1949A0" w14:textId="77777777" w:rsidTr="00D52330">
        <w:trPr>
          <w:cantSplit/>
        </w:trPr>
        <w:tc>
          <w:tcPr>
            <w:tcW w:w="1026" w:type="pct"/>
          </w:tcPr>
          <w:p w14:paraId="392EA272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Brak dostępności lub niska jakość danych źródłowych koniecznych do opracowania produktów przez Jednostki Zadaniowe.</w:t>
            </w:r>
          </w:p>
        </w:tc>
        <w:tc>
          <w:tcPr>
            <w:tcW w:w="733" w:type="pct"/>
          </w:tcPr>
          <w:p w14:paraId="4D1AC4C2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16FB1C0C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87" w:type="pct"/>
          </w:tcPr>
          <w:p w14:paraId="3A6FBC78" w14:textId="77777777" w:rsidR="00B9766A" w:rsidRPr="00B213D8" w:rsidRDefault="00B9766A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Opracowanie procedur przekazywania danych źródłowych.</w:t>
            </w:r>
          </w:p>
          <w:p w14:paraId="45B73F23" w14:textId="77777777" w:rsidR="00B9766A" w:rsidRDefault="00B9766A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Podejmowanie natychmiastowych interwencji przez Kierownika Projektu lub członków Komitetu Sterującego w przypadku stwierdzenia odmowy przekazania danych koniecznych do prowadzenia prac.</w:t>
            </w:r>
          </w:p>
          <w:p w14:paraId="0D601360" w14:textId="77777777" w:rsidR="00954AC1" w:rsidRPr="00286E4D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39D40FDC" w14:textId="166DB614" w:rsidR="00954AC1" w:rsidRPr="00286E4D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sprawozdawczego.</w:t>
            </w:r>
          </w:p>
          <w:p w14:paraId="6B9E25B4" w14:textId="1771376D" w:rsidR="00286E4D" w:rsidRPr="00B213D8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045AAE12" w14:textId="77777777" w:rsidTr="00D52330">
        <w:trPr>
          <w:cantSplit/>
        </w:trPr>
        <w:tc>
          <w:tcPr>
            <w:tcW w:w="1026" w:type="pct"/>
          </w:tcPr>
          <w:p w14:paraId="58123E91" w14:textId="77777777" w:rsidR="00954AC1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Zmiany zakresu prac projektowych</w:t>
            </w:r>
          </w:p>
          <w:p w14:paraId="3E2A53DF" w14:textId="57BD3EB1" w:rsidR="00B9766A" w:rsidRPr="00B213D8" w:rsidRDefault="00954AC1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zdarzenie dokonane</w:t>
            </w:r>
            <w:r>
              <w:rPr>
                <w:rStyle w:val="Odwoaniedokomentarza"/>
              </w:rPr>
              <w:t xml:space="preserve"> </w:t>
            </w:r>
          </w:p>
        </w:tc>
        <w:tc>
          <w:tcPr>
            <w:tcW w:w="733" w:type="pct"/>
          </w:tcPr>
          <w:p w14:paraId="78E05631" w14:textId="77777777" w:rsidR="00B9766A" w:rsidRPr="00954AC1" w:rsidRDefault="00B9766A" w:rsidP="00D52330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954AC1">
              <w:rPr>
                <w:rFonts w:ascii="Arial" w:hAnsi="Arial" w:cs="Arial"/>
                <w:strike/>
                <w:sz w:val="20"/>
                <w:szCs w:val="20"/>
              </w:rPr>
              <w:t>Średnie</w:t>
            </w:r>
          </w:p>
        </w:tc>
        <w:tc>
          <w:tcPr>
            <w:tcW w:w="954" w:type="pct"/>
          </w:tcPr>
          <w:p w14:paraId="5157A13E" w14:textId="77777777" w:rsidR="00B9766A" w:rsidRPr="00954AC1" w:rsidRDefault="00B9766A" w:rsidP="00D52330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954AC1">
              <w:rPr>
                <w:rFonts w:ascii="Arial" w:hAnsi="Arial" w:cs="Arial"/>
                <w:strike/>
                <w:sz w:val="20"/>
                <w:szCs w:val="20"/>
              </w:rPr>
              <w:t>Duża</w:t>
            </w:r>
          </w:p>
        </w:tc>
        <w:tc>
          <w:tcPr>
            <w:tcW w:w="2287" w:type="pct"/>
          </w:tcPr>
          <w:p w14:paraId="29D1A2B6" w14:textId="6A36E862" w:rsidR="00B9766A" w:rsidRPr="00B213D8" w:rsidRDefault="00B9766A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Uzgodnienie szczegółowego zakresu prac – akceptacja Koncepcji Projektu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A5BFC20" w14:textId="77777777" w:rsidR="00B9766A" w:rsidRPr="00B213D8" w:rsidRDefault="00B9766A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Opracowanie procedury postępowania w przypadku konieczności wprowadzenia zmian do zakresu.</w:t>
            </w:r>
          </w:p>
          <w:p w14:paraId="09EEE414" w14:textId="577DE991" w:rsidR="00B9766A" w:rsidRDefault="00B9766A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Przestrzeganie ustalonych procedur postępowania w zakresie zarządzania zmianą w projekcie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5E459EC" w14:textId="5218F5A7" w:rsidR="00954AC1" w:rsidRPr="00B213D8" w:rsidRDefault="00954AC1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Zamknięte</w:t>
            </w:r>
          </w:p>
        </w:tc>
      </w:tr>
      <w:tr w:rsidR="00B9766A" w:rsidRPr="00B213D8" w14:paraId="2DE4E046" w14:textId="77777777" w:rsidTr="00D52330">
        <w:trPr>
          <w:cantSplit/>
        </w:trPr>
        <w:tc>
          <w:tcPr>
            <w:tcW w:w="1026" w:type="pct"/>
          </w:tcPr>
          <w:p w14:paraId="25D49B44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Brak wsparcia projektu w zakresie administracyjnym</w:t>
            </w:r>
          </w:p>
        </w:tc>
        <w:tc>
          <w:tcPr>
            <w:tcW w:w="733" w:type="pct"/>
          </w:tcPr>
          <w:p w14:paraId="6855586B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2D2DDD1C" w14:textId="19E25626" w:rsidR="00954AC1" w:rsidRPr="00B213D8" w:rsidRDefault="00954AC1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287" w:type="pct"/>
          </w:tcPr>
          <w:p w14:paraId="295ACB7A" w14:textId="77777777" w:rsidR="00B9766A" w:rsidRDefault="00B9766A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Precyzyjne przypisanie zadań w zakresie obowiązków administracyjnych do konkretnych członków Zespołu Projektowego oraz Jednostek Zadaniowych.</w:t>
            </w:r>
          </w:p>
          <w:p w14:paraId="1B3CD04E" w14:textId="77777777" w:rsidR="00954AC1" w:rsidRPr="00286E4D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070FF0AB" w14:textId="28D4C57B" w:rsidR="00954AC1" w:rsidRPr="00286E4D" w:rsidRDefault="00954AC1" w:rsidP="00587BD2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 w:rsidR="00587BD2">
              <w:rPr>
                <w:rFonts w:ascii="Arial" w:hAnsi="Arial" w:cs="Arial"/>
                <w:sz w:val="20"/>
                <w:szCs w:val="20"/>
                <w:u w:val="single"/>
              </w:rPr>
              <w:t xml:space="preserve"> (zmiana z Średniego na Małe).</w:t>
            </w:r>
          </w:p>
          <w:p w14:paraId="538845A6" w14:textId="099089AB" w:rsidR="00954AC1" w:rsidRPr="00B213D8" w:rsidRDefault="00954AC1" w:rsidP="00587BD2">
            <w:pPr>
              <w:numPr>
                <w:ilvl w:val="0"/>
                <w:numId w:val="22"/>
              </w:numPr>
              <w:tabs>
                <w:tab w:val="num" w:pos="360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4787E1AE" w14:textId="77777777" w:rsidTr="00D52330">
        <w:trPr>
          <w:cantSplit/>
          <w:trHeight w:val="2542"/>
        </w:trPr>
        <w:tc>
          <w:tcPr>
            <w:tcW w:w="1026" w:type="pct"/>
          </w:tcPr>
          <w:p w14:paraId="0B9E0318" w14:textId="7C79A404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Nieuprawniony dostęp stron trzecich do dokumentacji projektowej</w:t>
            </w:r>
          </w:p>
          <w:p w14:paraId="47E97481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" w:type="pct"/>
          </w:tcPr>
          <w:p w14:paraId="622748F6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1826E5E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</w:tcPr>
          <w:p w14:paraId="274D9A6B" w14:textId="77777777" w:rsidR="00B9766A" w:rsidRPr="00B213D8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Ustanowienie mechanizmów kontroli dostępu do dokumentacji oraz jej nośników zarówno po stronie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jak i wybranych Wykonawców Zadań (np. przechowywanie elektronicznych wersji w wydzielonych miejsca na dyskach sieciowych z ograniczonymi prawami dostępu).</w:t>
            </w:r>
          </w:p>
          <w:p w14:paraId="45585AEF" w14:textId="77777777" w:rsidR="00B9766A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Ograniczenie dostępu do dokumentacji stanowiące tajemnicę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do określonego kręgu osób.</w:t>
            </w:r>
          </w:p>
          <w:p w14:paraId="69A552B2" w14:textId="77777777" w:rsidR="00587BD2" w:rsidRPr="00286E4D" w:rsidRDefault="00587BD2" w:rsidP="008D1335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066268A2" w14:textId="0A10183C" w:rsidR="00587BD2" w:rsidRPr="00286E4D" w:rsidRDefault="00587BD2" w:rsidP="008D1335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6729BEC1" w14:textId="0854CCE5" w:rsidR="00587BD2" w:rsidRPr="00B213D8" w:rsidRDefault="00587BD2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678AC0C3" w14:textId="77777777" w:rsidTr="00D52330">
        <w:trPr>
          <w:cantSplit/>
        </w:trPr>
        <w:tc>
          <w:tcPr>
            <w:tcW w:w="1026" w:type="pct"/>
          </w:tcPr>
          <w:p w14:paraId="42E9BBCF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Zapewnienie finansowania projektu</w:t>
            </w:r>
          </w:p>
        </w:tc>
        <w:tc>
          <w:tcPr>
            <w:tcW w:w="733" w:type="pct"/>
          </w:tcPr>
          <w:p w14:paraId="1BD6C7BF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19B9B22C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287" w:type="pct"/>
          </w:tcPr>
          <w:p w14:paraId="267E5F75" w14:textId="77777777" w:rsidR="00B9766A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Na etapie przygotowywania projektu oszacowano również koszty jego utrzymania. Po tych pracach podjęto decyzję o realizacji projektu, ponieważ oszacowane koszty są możliwe od ponoszenia przez Instytut. Instytut gwarantuje więc środki na utrzymanie powstał infrastruktury.</w:t>
            </w:r>
          </w:p>
          <w:p w14:paraId="1CF29611" w14:textId="77777777" w:rsidR="00587BD2" w:rsidRPr="00286E4D" w:rsidRDefault="00587BD2" w:rsidP="008D1335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2173DBDA" w14:textId="77777777" w:rsidR="00587BD2" w:rsidRPr="00286E4D" w:rsidRDefault="00587BD2" w:rsidP="008D1335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Nie 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  <w:p w14:paraId="03F4F5EA" w14:textId="74C5ED38" w:rsidR="00587BD2" w:rsidRPr="00B213D8" w:rsidRDefault="00587BD2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2825C7A0" w14:textId="77777777" w:rsidTr="00D52330">
        <w:trPr>
          <w:cantSplit/>
        </w:trPr>
        <w:tc>
          <w:tcPr>
            <w:tcW w:w="1026" w:type="pct"/>
          </w:tcPr>
          <w:p w14:paraId="121AF13B" w14:textId="77777777" w:rsidR="00B9766A" w:rsidRDefault="00B9766A" w:rsidP="00587BD2">
            <w:pPr>
              <w:pStyle w:val="Tekstdymka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Zmiana celów projektu w trakcie trwania projektu</w:t>
            </w:r>
          </w:p>
          <w:p w14:paraId="5111DFDE" w14:textId="2EA5319C" w:rsidR="00954AC1" w:rsidRPr="00B213D8" w:rsidRDefault="00954AC1" w:rsidP="00587BD2">
            <w:pPr>
              <w:pStyle w:val="Tekstdymka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zdarzenie dokonane</w:t>
            </w:r>
          </w:p>
        </w:tc>
        <w:tc>
          <w:tcPr>
            <w:tcW w:w="733" w:type="pct"/>
          </w:tcPr>
          <w:p w14:paraId="35C6181F" w14:textId="77777777" w:rsidR="00B9766A" w:rsidRPr="00587BD2" w:rsidRDefault="00B9766A" w:rsidP="00D52330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87BD2">
              <w:rPr>
                <w:rFonts w:ascii="Arial" w:hAnsi="Arial" w:cs="Arial"/>
                <w:strike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0B983A40" w14:textId="77777777" w:rsidR="00B9766A" w:rsidRPr="00587BD2" w:rsidRDefault="00B9766A" w:rsidP="00D52330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87BD2">
              <w:rPr>
                <w:rFonts w:ascii="Arial" w:hAnsi="Arial" w:cs="Arial"/>
                <w:strike/>
                <w:sz w:val="20"/>
                <w:szCs w:val="20"/>
              </w:rPr>
              <w:t>Duża</w:t>
            </w:r>
          </w:p>
        </w:tc>
        <w:tc>
          <w:tcPr>
            <w:tcW w:w="2287" w:type="pct"/>
          </w:tcPr>
          <w:p w14:paraId="69FF6CAF" w14:textId="77777777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Udokumentowanie celów projektu oraz uzyskanie ich formalnej akceptacji ze strony Komitetu Sterującego i Zarządu.</w:t>
            </w:r>
          </w:p>
          <w:p w14:paraId="20B35EBF" w14:textId="77777777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Opracowanie mechanizmu identyfikacji i wprowadzania zmian do koncepcji projektu.</w:t>
            </w:r>
          </w:p>
          <w:p w14:paraId="06F961B3" w14:textId="1C467FE9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Status ryzyka: Zamknięte</w:t>
            </w:r>
          </w:p>
        </w:tc>
      </w:tr>
      <w:tr w:rsidR="00B9766A" w:rsidRPr="00B213D8" w14:paraId="563C2CC2" w14:textId="77777777" w:rsidTr="00D52330">
        <w:trPr>
          <w:cantSplit/>
        </w:trPr>
        <w:tc>
          <w:tcPr>
            <w:tcW w:w="1026" w:type="pct"/>
          </w:tcPr>
          <w:p w14:paraId="4C68166C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Zmiana kluczowych osób zaangażowanych w projekt po stronie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</w:p>
        </w:tc>
        <w:tc>
          <w:tcPr>
            <w:tcW w:w="733" w:type="pct"/>
          </w:tcPr>
          <w:p w14:paraId="50310A25" w14:textId="77777777" w:rsidR="00B9766A" w:rsidRPr="00B213D8" w:rsidRDefault="00B9766A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954" w:type="pct"/>
          </w:tcPr>
          <w:p w14:paraId="045F1047" w14:textId="11EFCD05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287" w:type="pct"/>
          </w:tcPr>
          <w:p w14:paraId="4E00174F" w14:textId="181E9C65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Powołanie nowych osób ze strony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do uczestnictwa w projekcie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48B0F48" w14:textId="69627C19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Komunikacja celów, zakresu i stanu zaawansowania projektu dla nowych członków Komitetu Sterującego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74621FB" w14:textId="14764415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Określenie wysokiego priorytetu dla projektu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89250E2" w14:textId="77777777" w:rsidR="00587BD2" w:rsidRPr="00286E4D" w:rsidRDefault="00587BD2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3035B882" w14:textId="58E13370" w:rsidR="00587BD2" w:rsidRPr="00286E4D" w:rsidRDefault="00587BD2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(zmiana z Średniego na Małe).</w:t>
            </w:r>
          </w:p>
          <w:p w14:paraId="15D63857" w14:textId="17F414DE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0658581C" w14:textId="77777777" w:rsidTr="00D52330">
        <w:trPr>
          <w:cantSplit/>
          <w:trHeight w:val="1549"/>
        </w:trPr>
        <w:tc>
          <w:tcPr>
            <w:tcW w:w="1026" w:type="pct"/>
          </w:tcPr>
          <w:p w14:paraId="5D8DEF6F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Zmiana założeń planów rządowych dotyczących funkcjonowania i rozwoju sektora nauki/zdrowia w Polsce</w:t>
            </w:r>
          </w:p>
        </w:tc>
        <w:tc>
          <w:tcPr>
            <w:tcW w:w="733" w:type="pct"/>
          </w:tcPr>
          <w:p w14:paraId="292750D0" w14:textId="3B6B61BF" w:rsidR="00B9766A" w:rsidRPr="00B213D8" w:rsidRDefault="00587BD2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954" w:type="pct"/>
          </w:tcPr>
          <w:p w14:paraId="64540D15" w14:textId="46C24E64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287" w:type="pct"/>
          </w:tcPr>
          <w:p w14:paraId="0786D073" w14:textId="77777777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Informowanie przedstawicieli Ministerstwa Nauki/Zdrowia o zakresie i celach projektu.</w:t>
            </w:r>
          </w:p>
          <w:p w14:paraId="40277734" w14:textId="023FA7C6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Uzyskanie gwarancji finansowania projektu w przypadku uzyskania dofinansowania ze strony Ministerstwa Zdrowia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A9FCDEA" w14:textId="77777777" w:rsidR="00587BD2" w:rsidRPr="00286E4D" w:rsidRDefault="00587BD2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4FAB4BF2" w14:textId="3E463422" w:rsidR="00587BD2" w:rsidRPr="00286E4D" w:rsidRDefault="00587BD2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(zmiana z Niskie na Wysokie oraz Dużego na Małe).</w:t>
            </w:r>
          </w:p>
          <w:p w14:paraId="59F77BE1" w14:textId="798D56C1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2A553F67" w14:textId="77777777" w:rsidTr="00D52330">
        <w:trPr>
          <w:cantSplit/>
        </w:trPr>
        <w:tc>
          <w:tcPr>
            <w:tcW w:w="1026" w:type="pct"/>
          </w:tcPr>
          <w:p w14:paraId="0638D6D5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Opóźniania realizacji projektu w wyniku nie rzetelności wykonawców i dostawców usług</w:t>
            </w:r>
          </w:p>
        </w:tc>
        <w:tc>
          <w:tcPr>
            <w:tcW w:w="733" w:type="pct"/>
          </w:tcPr>
          <w:p w14:paraId="4D9666BF" w14:textId="77777777" w:rsidR="00B9766A" w:rsidRPr="00B213D8" w:rsidRDefault="00B9766A" w:rsidP="00D52330">
            <w:pPr>
              <w:pStyle w:val="Tekstdymka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954" w:type="pct"/>
          </w:tcPr>
          <w:p w14:paraId="1DF07E29" w14:textId="3F802A44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287" w:type="pct"/>
          </w:tcPr>
          <w:p w14:paraId="2E24BD64" w14:textId="3E0E5704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Harmonogram projektu został skonstruowany tak, by zawierać bufor bezpieczeń</w:t>
            </w:r>
            <w:r w:rsidR="00587BD2">
              <w:rPr>
                <w:rFonts w:ascii="Arial" w:hAnsi="Arial" w:cs="Arial"/>
                <w:sz w:val="20"/>
                <w:szCs w:val="20"/>
              </w:rPr>
              <w:t>stwa czasowego.</w:t>
            </w:r>
          </w:p>
          <w:p w14:paraId="52827EA4" w14:textId="7352878F" w:rsidR="00B9766A" w:rsidRPr="00B213D8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Jednocześnie należy zastosować odpowiednie zapisy nakładające na wykonawców kary związane z nierzetelno</w:t>
            </w:r>
            <w:r w:rsidR="00587BD2">
              <w:rPr>
                <w:rFonts w:ascii="Arial" w:hAnsi="Arial" w:cs="Arial"/>
                <w:sz w:val="20"/>
                <w:szCs w:val="20"/>
              </w:rPr>
              <w:t>ścią.</w:t>
            </w:r>
          </w:p>
          <w:p w14:paraId="1AFD96D4" w14:textId="472CFB43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Stały nadzór nad jakością oraz terminami realizacji prac zlecanych zewnętrznym Wykonawcą</w:t>
            </w:r>
            <w:r w:rsidR="00587BD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A5E9F6E" w14:textId="77777777" w:rsidR="00587BD2" w:rsidRPr="00286E4D" w:rsidRDefault="00587BD2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3B1711D5" w14:textId="1426321A" w:rsidR="00587BD2" w:rsidRPr="00286E4D" w:rsidRDefault="00587BD2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(zmiana z Dużego na Małe).</w:t>
            </w:r>
          </w:p>
          <w:p w14:paraId="73414732" w14:textId="7F13EE2B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626E5D58" w14:textId="77777777" w:rsidTr="00D52330">
        <w:trPr>
          <w:cantSplit/>
        </w:trPr>
        <w:tc>
          <w:tcPr>
            <w:tcW w:w="1026" w:type="pct"/>
          </w:tcPr>
          <w:p w14:paraId="6EE03BBA" w14:textId="77777777" w:rsidR="00B9766A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Brak rozpoczęcia prac projektowych w terminie spowodowany opóźnieniem w podejmowaniu decyzji przez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Pr="00B213D8">
              <w:rPr>
                <w:rFonts w:ascii="Arial" w:hAnsi="Arial" w:cs="Arial"/>
                <w:sz w:val="20"/>
                <w:szCs w:val="20"/>
              </w:rPr>
              <w:t xml:space="preserve"> (np. decyzji dotyczących podziału zamówień publicznych)</w:t>
            </w:r>
          </w:p>
          <w:p w14:paraId="236E1E06" w14:textId="2B60433C" w:rsidR="00587BD2" w:rsidRPr="00B213D8" w:rsidRDefault="00587BD2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954AC1">
              <w:rPr>
                <w:rFonts w:ascii="Arial" w:hAnsi="Arial" w:cs="Arial"/>
                <w:i/>
                <w:sz w:val="20"/>
                <w:szCs w:val="20"/>
                <w:u w:val="single"/>
              </w:rPr>
              <w:t>zdarzenie dokonane</w:t>
            </w:r>
          </w:p>
        </w:tc>
        <w:tc>
          <w:tcPr>
            <w:tcW w:w="733" w:type="pct"/>
          </w:tcPr>
          <w:p w14:paraId="52828A38" w14:textId="77777777" w:rsidR="00B9766A" w:rsidRPr="00587BD2" w:rsidRDefault="00B9766A" w:rsidP="00D52330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87BD2">
              <w:rPr>
                <w:rFonts w:ascii="Arial" w:hAnsi="Arial" w:cs="Arial"/>
                <w:strike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74FD6F77" w14:textId="77777777" w:rsidR="00B9766A" w:rsidRPr="00587BD2" w:rsidRDefault="00B9766A" w:rsidP="00D52330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87BD2">
              <w:rPr>
                <w:rFonts w:ascii="Arial" w:hAnsi="Arial" w:cs="Arial"/>
                <w:strike/>
                <w:sz w:val="20"/>
                <w:szCs w:val="20"/>
              </w:rPr>
              <w:t>Duża</w:t>
            </w:r>
          </w:p>
        </w:tc>
        <w:tc>
          <w:tcPr>
            <w:tcW w:w="2279" w:type="pct"/>
          </w:tcPr>
          <w:p w14:paraId="39AA225D" w14:textId="5F13FE7E" w:rsidR="00B9766A" w:rsidRPr="00B213D8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 xml:space="preserve">Jak najszybsze zatwierdzenie dokumentów projektowych przez Zarząd </w:t>
            </w:r>
            <w:proofErr w:type="spellStart"/>
            <w:r w:rsidRPr="00B213D8">
              <w:rPr>
                <w:rFonts w:ascii="Arial" w:hAnsi="Arial" w:cs="Arial"/>
                <w:sz w:val="20"/>
                <w:szCs w:val="20"/>
              </w:rPr>
              <w:t>IPiN</w:t>
            </w:r>
            <w:proofErr w:type="spellEnd"/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EF52679" w14:textId="1D16FE05" w:rsidR="00B9766A" w:rsidRPr="00B213D8" w:rsidRDefault="00B9766A" w:rsidP="008D1335">
            <w:pPr>
              <w:numPr>
                <w:ilvl w:val="0"/>
                <w:numId w:val="22"/>
              </w:numPr>
              <w:tabs>
                <w:tab w:val="num" w:pos="360"/>
              </w:tabs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Powołanie struktur projektowych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7A5BBCD" w14:textId="161BD2EC" w:rsidR="00B9766A" w:rsidRDefault="00B9766A" w:rsidP="008D1335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Ustalenie aktualnego harmonogramu i następnie akceptacja jedynie jego modyfikacji (brak konieczności tworzenia nowego harmonogramu)</w:t>
            </w:r>
            <w:r w:rsidR="008D13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DD1BDE2" w14:textId="0C227D1F" w:rsidR="00587BD2" w:rsidRPr="00B213D8" w:rsidRDefault="00587BD2" w:rsidP="008D1335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Status ryzyka: Zamknięte</w:t>
            </w:r>
          </w:p>
        </w:tc>
      </w:tr>
      <w:tr w:rsidR="00B9766A" w:rsidRPr="00B213D8" w14:paraId="0E5E249D" w14:textId="77777777" w:rsidTr="00D52330">
        <w:trPr>
          <w:cantSplit/>
        </w:trPr>
        <w:tc>
          <w:tcPr>
            <w:tcW w:w="1026" w:type="pct"/>
          </w:tcPr>
          <w:p w14:paraId="3EFFD56E" w14:textId="77777777" w:rsidR="00B9766A" w:rsidRPr="00B213D8" w:rsidRDefault="00B9766A" w:rsidP="00587BD2">
            <w:pPr>
              <w:pStyle w:val="Tekstdymka"/>
              <w:spacing w:after="1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Niedotrzymywanie terminów prac zawartych w harmonogramie projektu</w:t>
            </w:r>
          </w:p>
        </w:tc>
        <w:tc>
          <w:tcPr>
            <w:tcW w:w="733" w:type="pct"/>
          </w:tcPr>
          <w:p w14:paraId="77ABBC57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954" w:type="pct"/>
          </w:tcPr>
          <w:p w14:paraId="12655E94" w14:textId="7AA332E7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279" w:type="pct"/>
          </w:tcPr>
          <w:p w14:paraId="54FD0847" w14:textId="77777777" w:rsidR="00B9766A" w:rsidRDefault="00B9766A" w:rsidP="00587BD2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Prowadzenie kontroli terminowości realizowanych prac przez poszczególne Jednostki Zadaniowe. Bieżąca i dokładna analiza raportów statusowych, udział członków Komitetu Sterującego a przede wszystkim Koordynatora Projektu w pracach Jednostek Zadaniowych.</w:t>
            </w:r>
          </w:p>
          <w:p w14:paraId="0A335FF1" w14:textId="77777777" w:rsidR="00587BD2" w:rsidRPr="00286E4D" w:rsidRDefault="00587BD2" w:rsidP="00587BD2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6FF45359" w14:textId="1CA1E086" w:rsidR="00587BD2" w:rsidRPr="00286E4D" w:rsidRDefault="00587BD2" w:rsidP="00587BD2">
            <w:pPr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(zmiana z Średniego na Małe).</w:t>
            </w:r>
          </w:p>
          <w:p w14:paraId="55EA08BD" w14:textId="0B2E8362" w:rsidR="00587BD2" w:rsidRPr="00B213D8" w:rsidRDefault="00587BD2" w:rsidP="00587BD2">
            <w:pPr>
              <w:numPr>
                <w:ilvl w:val="0"/>
                <w:numId w:val="22"/>
              </w:numPr>
              <w:spacing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  <w:tr w:rsidR="00B9766A" w:rsidRPr="00B213D8" w14:paraId="7E680042" w14:textId="77777777" w:rsidTr="00D52330">
        <w:trPr>
          <w:cantSplit/>
        </w:trPr>
        <w:tc>
          <w:tcPr>
            <w:tcW w:w="1026" w:type="pct"/>
          </w:tcPr>
          <w:p w14:paraId="4CAF485E" w14:textId="77777777" w:rsidR="00B9766A" w:rsidRPr="00B213D8" w:rsidRDefault="00B9766A" w:rsidP="00587BD2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lastRenderedPageBreak/>
              <w:t>Znacznie wyższy koszt usług</w:t>
            </w:r>
          </w:p>
        </w:tc>
        <w:tc>
          <w:tcPr>
            <w:tcW w:w="733" w:type="pct"/>
          </w:tcPr>
          <w:p w14:paraId="7B7813DD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954" w:type="pct"/>
          </w:tcPr>
          <w:p w14:paraId="489EFDB2" w14:textId="726A1362" w:rsidR="00B9766A" w:rsidRPr="00B213D8" w:rsidRDefault="00587BD2" w:rsidP="00D52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279" w:type="pct"/>
          </w:tcPr>
          <w:p w14:paraId="4E45C94E" w14:textId="77777777" w:rsidR="00B9766A" w:rsidRDefault="00B9766A" w:rsidP="00587BD2">
            <w:pPr>
              <w:pStyle w:val="Akapitzlist"/>
              <w:numPr>
                <w:ilvl w:val="0"/>
                <w:numId w:val="23"/>
              </w:numPr>
              <w:spacing w:after="0" w:line="300" w:lineRule="auto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Bieżąca kontrola wydatków w projekcie i ich zgodności z harmonogramem oraz poziomu wykorzystania budżetu</w:t>
            </w:r>
            <w:r w:rsidR="00587BD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B3EA547" w14:textId="77777777" w:rsidR="00587BD2" w:rsidRPr="00286E4D" w:rsidRDefault="00587BD2" w:rsidP="00587BD2">
            <w:pPr>
              <w:numPr>
                <w:ilvl w:val="0"/>
                <w:numId w:val="23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Efekt: oczekiwane zmniejszenie siły oddziaływania i prawdopodobieństwa wystąpienia ryzyka.</w:t>
            </w:r>
          </w:p>
          <w:p w14:paraId="7D57530E" w14:textId="53A5CEDB" w:rsidR="00587BD2" w:rsidRPr="00286E4D" w:rsidRDefault="00587BD2" w:rsidP="00587BD2">
            <w:pPr>
              <w:numPr>
                <w:ilvl w:val="0"/>
                <w:numId w:val="23"/>
              </w:num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N</w:t>
            </w: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>astąpiła zmiana oceny ryzyka w stosunku do ostatniego okresu sprawozdawczego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(zmiana z Dużego na Średnie).</w:t>
            </w:r>
          </w:p>
          <w:p w14:paraId="16776B9C" w14:textId="1A1A3E1E" w:rsidR="00587BD2" w:rsidRPr="00B213D8" w:rsidRDefault="00587BD2" w:rsidP="00587BD2">
            <w:pPr>
              <w:pStyle w:val="Akapitzlist"/>
              <w:numPr>
                <w:ilvl w:val="0"/>
                <w:numId w:val="23"/>
              </w:numPr>
              <w:spacing w:line="300" w:lineRule="auto"/>
              <w:ind w:left="36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86E4D">
              <w:rPr>
                <w:rFonts w:ascii="Arial" w:hAnsi="Arial" w:cs="Arial"/>
                <w:sz w:val="20"/>
                <w:szCs w:val="20"/>
                <w:u w:val="single"/>
              </w:rPr>
              <w:t xml:space="preserve">Status ryzyka: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Otwarte</w:t>
            </w:r>
          </w:p>
        </w:tc>
      </w:tr>
    </w:tbl>
    <w:p w14:paraId="4C9FF24B" w14:textId="6648A068" w:rsidR="00B9766A" w:rsidRPr="00141A92" w:rsidRDefault="00B9766A" w:rsidP="00F25348">
      <w:pPr>
        <w:spacing w:after="120"/>
        <w:rPr>
          <w:rFonts w:ascii="Arial" w:hAnsi="Arial" w:cs="Arial"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B9766A" w:rsidRPr="00B213D8" w14:paraId="2C0265C0" w14:textId="77777777" w:rsidTr="00D52330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5DC158EA" w14:textId="77777777" w:rsidR="00B9766A" w:rsidRPr="00B213D8" w:rsidRDefault="00B9766A" w:rsidP="00D5233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B213D8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D7CF607" w14:textId="77777777" w:rsidR="00B9766A" w:rsidRPr="00B213D8" w:rsidRDefault="00B9766A" w:rsidP="00D5233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1DF74F66" w14:textId="77777777" w:rsidR="00B9766A" w:rsidRPr="00B213D8" w:rsidRDefault="00B9766A" w:rsidP="00D5233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3ADC243" w14:textId="77777777" w:rsidR="00B9766A" w:rsidRPr="00B213D8" w:rsidRDefault="00B9766A" w:rsidP="00D5233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9766A" w:rsidRPr="00B213D8" w14:paraId="1A535325" w14:textId="77777777" w:rsidTr="00D52330">
        <w:trPr>
          <w:trHeight w:val="724"/>
        </w:trPr>
        <w:tc>
          <w:tcPr>
            <w:tcW w:w="3261" w:type="dxa"/>
            <w:shd w:val="clear" w:color="auto" w:fill="auto"/>
          </w:tcPr>
          <w:p w14:paraId="73062F51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Awaria serwerów</w:t>
            </w:r>
          </w:p>
        </w:tc>
        <w:tc>
          <w:tcPr>
            <w:tcW w:w="1701" w:type="dxa"/>
            <w:shd w:val="clear" w:color="auto" w:fill="FFFFFF"/>
          </w:tcPr>
          <w:p w14:paraId="4F523BF3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0D2A6FB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4C5CAC85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Backup danych</w:t>
            </w:r>
          </w:p>
        </w:tc>
      </w:tr>
      <w:tr w:rsidR="00B9766A" w:rsidRPr="00B213D8" w14:paraId="6D93B352" w14:textId="77777777" w:rsidTr="00D52330">
        <w:trPr>
          <w:trHeight w:val="724"/>
        </w:trPr>
        <w:tc>
          <w:tcPr>
            <w:tcW w:w="3261" w:type="dxa"/>
            <w:shd w:val="clear" w:color="auto" w:fill="auto"/>
          </w:tcPr>
          <w:p w14:paraId="09A96A57" w14:textId="77777777" w:rsidR="00B9766A" w:rsidRPr="00B213D8" w:rsidRDefault="00B9766A" w:rsidP="00D5233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213D8">
              <w:rPr>
                <w:rFonts w:ascii="Arial" w:hAnsi="Arial" w:cs="Arial"/>
                <w:sz w:val="20"/>
                <w:szCs w:val="20"/>
                <w:lang w:eastAsia="pl-PL"/>
              </w:rPr>
              <w:t>Włamanie do systemu i kradzież danych</w:t>
            </w:r>
          </w:p>
        </w:tc>
        <w:tc>
          <w:tcPr>
            <w:tcW w:w="1701" w:type="dxa"/>
            <w:shd w:val="clear" w:color="auto" w:fill="FFFFFF"/>
          </w:tcPr>
          <w:p w14:paraId="4361526A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7A378F0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25634D28" w14:textId="77777777" w:rsidR="00B9766A" w:rsidRPr="00B213D8" w:rsidRDefault="00B9766A" w:rsidP="00D5233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B213D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Odpowiednie zabezpieczenia systemu</w:t>
            </w:r>
          </w:p>
        </w:tc>
      </w:tr>
    </w:tbl>
    <w:p w14:paraId="76DED3D7" w14:textId="77777777" w:rsidR="00B9766A" w:rsidRDefault="00B9766A" w:rsidP="00B9766A">
      <w:pPr>
        <w:spacing w:after="120"/>
        <w:rPr>
          <w:rFonts w:ascii="Arial" w:hAnsi="Arial" w:cs="Arial"/>
          <w:b/>
          <w:sz w:val="20"/>
          <w:szCs w:val="20"/>
        </w:rPr>
      </w:pPr>
    </w:p>
    <w:p w14:paraId="33071B39" w14:textId="6E490E74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76B7DA2" w14:textId="77777777" w:rsidR="00C04634" w:rsidRPr="00B9766A" w:rsidRDefault="00C04634" w:rsidP="00C04634">
      <w:pPr>
        <w:spacing w:before="120"/>
        <w:rPr>
          <w:rFonts w:ascii="Arial" w:hAnsi="Arial" w:cs="Arial"/>
          <w:color w:val="767171" w:themeColor="background2" w:themeShade="80"/>
        </w:rPr>
      </w:pPr>
      <w:r w:rsidRPr="00B9766A">
        <w:rPr>
          <w:rFonts w:ascii="Arial" w:hAnsi="Arial" w:cs="Arial"/>
        </w:rPr>
        <w:t>Nie dotyczy</w:t>
      </w:r>
    </w:p>
    <w:p w14:paraId="0FA2F07F" w14:textId="297CE69F" w:rsidR="00BB059E" w:rsidRPr="00B9766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57E44311" w14:textId="77777777" w:rsidR="00B9766A" w:rsidRPr="00B213D8" w:rsidRDefault="00B9766A" w:rsidP="00B9766A">
      <w:pPr>
        <w:spacing w:after="120"/>
        <w:rPr>
          <w:rStyle w:val="Nagwek2Znak"/>
          <w:rFonts w:ascii="Arial" w:hAnsi="Arial" w:cs="Arial"/>
          <w:color w:val="auto"/>
          <w:sz w:val="22"/>
          <w:szCs w:val="22"/>
        </w:rPr>
      </w:pPr>
      <w:r w:rsidRPr="00B213D8">
        <w:rPr>
          <w:rStyle w:val="Nagwek2Znak"/>
          <w:rFonts w:ascii="Arial" w:hAnsi="Arial" w:cs="Arial"/>
          <w:color w:val="auto"/>
          <w:sz w:val="22"/>
          <w:szCs w:val="22"/>
        </w:rPr>
        <w:t>dr n med. Tomasz Stępień, Zakład Neuropatologii, Instytut Psychiatrii i Neurologii</w:t>
      </w:r>
    </w:p>
    <w:p w14:paraId="5ACC80B6" w14:textId="3FC6B24C" w:rsidR="00A92887" w:rsidRPr="00C04634" w:rsidRDefault="00B9766A" w:rsidP="00C04634">
      <w:r w:rsidRPr="00B213D8">
        <w:rPr>
          <w:rStyle w:val="Nagwek2Znak"/>
          <w:rFonts w:ascii="Arial" w:hAnsi="Arial" w:cs="Arial"/>
          <w:color w:val="auto"/>
          <w:sz w:val="22"/>
          <w:szCs w:val="22"/>
        </w:rPr>
        <w:t>Kontakt: tstepien@ipin.edu.pl, tel. 45-82-786, 514-959-379</w:t>
      </w:r>
    </w:p>
    <w:sectPr w:rsidR="00A92887" w:rsidRPr="00C04634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875D1D" w14:textId="77777777" w:rsidR="006D4422" w:rsidRDefault="006D4422" w:rsidP="00BB2420">
      <w:pPr>
        <w:spacing w:after="0" w:line="240" w:lineRule="auto"/>
      </w:pPr>
      <w:r>
        <w:separator/>
      </w:r>
    </w:p>
  </w:endnote>
  <w:endnote w:type="continuationSeparator" w:id="0">
    <w:p w14:paraId="65042694" w14:textId="77777777" w:rsidR="006D4422" w:rsidRDefault="006D442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0D121E" w:rsidRDefault="000D121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D1335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0D121E" w:rsidRDefault="000D12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600DFA" w14:textId="77777777" w:rsidR="006D4422" w:rsidRDefault="006D4422" w:rsidP="00BB2420">
      <w:pPr>
        <w:spacing w:after="0" w:line="240" w:lineRule="auto"/>
      </w:pPr>
      <w:r>
        <w:separator/>
      </w:r>
    </w:p>
  </w:footnote>
  <w:footnote w:type="continuationSeparator" w:id="0">
    <w:p w14:paraId="6882216A" w14:textId="77777777" w:rsidR="006D4422" w:rsidRDefault="006D4422" w:rsidP="00BB2420">
      <w:pPr>
        <w:spacing w:after="0" w:line="240" w:lineRule="auto"/>
      </w:pPr>
      <w:r>
        <w:continuationSeparator/>
      </w:r>
    </w:p>
  </w:footnote>
  <w:footnote w:id="1">
    <w:p w14:paraId="7C4738D7" w14:textId="77777777" w:rsidR="000D121E" w:rsidRDefault="000D121E" w:rsidP="00186468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EBC6D37"/>
    <w:multiLevelType w:val="hybridMultilevel"/>
    <w:tmpl w:val="50AC6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34135"/>
    <w:multiLevelType w:val="hybridMultilevel"/>
    <w:tmpl w:val="C220BBC6"/>
    <w:lvl w:ilvl="0" w:tplc="0415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7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C30216"/>
    <w:multiLevelType w:val="hybridMultilevel"/>
    <w:tmpl w:val="CB842DC2"/>
    <w:lvl w:ilvl="0" w:tplc="191A501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3"/>
  </w:num>
  <w:num w:numId="4">
    <w:abstractNumId w:val="10"/>
  </w:num>
  <w:num w:numId="5">
    <w:abstractNumId w:val="20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8"/>
  </w:num>
  <w:num w:numId="13">
    <w:abstractNumId w:val="14"/>
  </w:num>
  <w:num w:numId="14">
    <w:abstractNumId w:val="1"/>
  </w:num>
  <w:num w:numId="15">
    <w:abstractNumId w:val="21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2"/>
  </w:num>
  <w:num w:numId="21">
    <w:abstractNumId w:val="19"/>
  </w:num>
  <w:num w:numId="22">
    <w:abstractNumId w:val="17"/>
  </w:num>
  <w:num w:numId="23">
    <w:abstractNumId w:val="3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6E59"/>
    <w:rsid w:val="0003797E"/>
    <w:rsid w:val="00043DD9"/>
    <w:rsid w:val="00044D68"/>
    <w:rsid w:val="00047D9D"/>
    <w:rsid w:val="0006403E"/>
    <w:rsid w:val="0007049E"/>
    <w:rsid w:val="00070663"/>
    <w:rsid w:val="00071880"/>
    <w:rsid w:val="00084E5B"/>
    <w:rsid w:val="00087231"/>
    <w:rsid w:val="00095944"/>
    <w:rsid w:val="000A1DFB"/>
    <w:rsid w:val="000A2F32"/>
    <w:rsid w:val="000A3938"/>
    <w:rsid w:val="000B3993"/>
    <w:rsid w:val="000B3E49"/>
    <w:rsid w:val="000B762E"/>
    <w:rsid w:val="000D121E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8646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449B7"/>
    <w:rsid w:val="00252087"/>
    <w:rsid w:val="00256D63"/>
    <w:rsid w:val="00263392"/>
    <w:rsid w:val="00265194"/>
    <w:rsid w:val="00276C00"/>
    <w:rsid w:val="00286E4D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65EC"/>
    <w:rsid w:val="003C7325"/>
    <w:rsid w:val="003D7DD0"/>
    <w:rsid w:val="003E3144"/>
    <w:rsid w:val="00405EA4"/>
    <w:rsid w:val="0041034F"/>
    <w:rsid w:val="004118A3"/>
    <w:rsid w:val="00423A26"/>
    <w:rsid w:val="00425046"/>
    <w:rsid w:val="004320FD"/>
    <w:rsid w:val="004350B8"/>
    <w:rsid w:val="00444AAB"/>
    <w:rsid w:val="00450089"/>
    <w:rsid w:val="004729D1"/>
    <w:rsid w:val="004745EC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101F"/>
    <w:rsid w:val="0057243A"/>
    <w:rsid w:val="005734CE"/>
    <w:rsid w:val="005840AB"/>
    <w:rsid w:val="00586664"/>
    <w:rsid w:val="00587BD2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D4422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83279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56C"/>
    <w:rsid w:val="007E341A"/>
    <w:rsid w:val="007F126F"/>
    <w:rsid w:val="00803FBE"/>
    <w:rsid w:val="00805178"/>
    <w:rsid w:val="00806134"/>
    <w:rsid w:val="008305B5"/>
    <w:rsid w:val="00830B70"/>
    <w:rsid w:val="00840749"/>
    <w:rsid w:val="0087452F"/>
    <w:rsid w:val="00875528"/>
    <w:rsid w:val="00884686"/>
    <w:rsid w:val="008942F1"/>
    <w:rsid w:val="0089433B"/>
    <w:rsid w:val="008A332F"/>
    <w:rsid w:val="008A52F6"/>
    <w:rsid w:val="008C4BCD"/>
    <w:rsid w:val="008C6721"/>
    <w:rsid w:val="008D1335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54AC1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2661F"/>
    <w:rsid w:val="00A30847"/>
    <w:rsid w:val="00A36AE2"/>
    <w:rsid w:val="00A43E49"/>
    <w:rsid w:val="00A44EA2"/>
    <w:rsid w:val="00A453A3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9766A"/>
    <w:rsid w:val="00BA481C"/>
    <w:rsid w:val="00BB059E"/>
    <w:rsid w:val="00BB2420"/>
    <w:rsid w:val="00BB49AC"/>
    <w:rsid w:val="00BB5ACE"/>
    <w:rsid w:val="00BC1BD2"/>
    <w:rsid w:val="00BC4FA7"/>
    <w:rsid w:val="00BC6BE4"/>
    <w:rsid w:val="00BD5FEA"/>
    <w:rsid w:val="00BE47CD"/>
    <w:rsid w:val="00BE5BF9"/>
    <w:rsid w:val="00C04634"/>
    <w:rsid w:val="00C0716F"/>
    <w:rsid w:val="00C1106C"/>
    <w:rsid w:val="00C11EF8"/>
    <w:rsid w:val="00C26361"/>
    <w:rsid w:val="00C302F1"/>
    <w:rsid w:val="00C3575F"/>
    <w:rsid w:val="00C427D5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2330"/>
    <w:rsid w:val="00D57025"/>
    <w:rsid w:val="00D57765"/>
    <w:rsid w:val="00D63F72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2104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4621"/>
    <w:rsid w:val="00F76777"/>
    <w:rsid w:val="00F83F2F"/>
    <w:rsid w:val="00F86555"/>
    <w:rsid w:val="00F86C58"/>
    <w:rsid w:val="00FB5B77"/>
    <w:rsid w:val="00FC3B03"/>
    <w:rsid w:val="00FF03A2"/>
    <w:rsid w:val="00FF22C4"/>
    <w:rsid w:val="00FF6C85"/>
    <w:rsid w:val="00FF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F9925-87E2-4673-8489-F1F2F0CDD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2139</Words>
  <Characters>12834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2019-10-17T08:59:00Z</dcterms:created>
  <dcterms:modified xsi:type="dcterms:W3CDTF">2019-10-17T08:59:00Z</dcterms:modified>
</cp:coreProperties>
</file>